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spacing w:after="0"/>
        <w:jc w:val="left"/>
        <w:rPr>
          <w:rFonts w:hint="eastAsia" w:ascii="Arial" w:hAnsi="Arial" w:eastAsia="宋体" w:cs="Arial"/>
          <w:b/>
          <w:i/>
          <w:sz w:val="24"/>
          <w:szCs w:val="24"/>
          <w:lang w:eastAsia="zh-CN"/>
        </w:rPr>
      </w:pPr>
      <w:r>
        <w:rPr>
          <w:rFonts w:ascii="Arial" w:hAnsi="Arial" w:eastAsia="MS Mincho" w:cs="Arial"/>
          <w:b/>
          <w:sz w:val="24"/>
          <w:szCs w:val="24"/>
        </w:rPr>
        <w:t>3GPP TSG RAN WG1 Meeting</w:t>
      </w:r>
      <w:r>
        <w:rPr>
          <w:rFonts w:ascii="Arial" w:hAnsi="Arial" w:eastAsia="宋体" w:cs="Arial"/>
          <w:b/>
          <w:sz w:val="24"/>
          <w:szCs w:val="24"/>
        </w:rPr>
        <w:t xml:space="preserve"> </w:t>
      </w:r>
      <w:r>
        <w:rPr>
          <w:rFonts w:hint="eastAsia" w:ascii="Arial" w:hAnsi="Arial" w:eastAsia="宋体" w:cs="Arial"/>
          <w:b/>
          <w:sz w:val="24"/>
          <w:szCs w:val="24"/>
          <w:lang w:eastAsia="zh-CN"/>
        </w:rPr>
        <w:t>#89</w:t>
      </w:r>
      <w:r>
        <w:rPr>
          <w:rFonts w:ascii="Arial" w:hAnsi="Arial" w:eastAsia="宋体" w:cs="Arial"/>
          <w:b/>
          <w:sz w:val="24"/>
          <w:szCs w:val="24"/>
        </w:rPr>
        <w:t xml:space="preserve">                                    </w:t>
      </w:r>
      <w:r>
        <w:rPr>
          <w:rFonts w:ascii="Arial" w:hAnsi="Arial" w:eastAsia="宋体" w:cs="Arial"/>
          <w:b/>
          <w:sz w:val="24"/>
          <w:szCs w:val="24"/>
          <w:lang w:eastAsia="zh-CN"/>
        </w:rPr>
        <w:tab/>
      </w:r>
      <w:r>
        <w:rPr>
          <w:rFonts w:ascii="Arial" w:hAnsi="Arial" w:eastAsia="宋体" w:cs="Arial"/>
          <w:b/>
          <w:sz w:val="24"/>
          <w:szCs w:val="24"/>
        </w:rPr>
        <w:t xml:space="preserve">  </w:t>
      </w:r>
      <w:r>
        <w:rPr>
          <w:rFonts w:hint="eastAsia" w:ascii="Arial" w:hAnsi="Arial" w:eastAsia="宋体" w:cs="Arial"/>
          <w:b/>
          <w:sz w:val="24"/>
          <w:szCs w:val="24"/>
        </w:rPr>
        <w:t>R1-1707159</w:t>
      </w:r>
    </w:p>
    <w:p>
      <w:pPr>
        <w:tabs>
          <w:tab w:val="center" w:pos="4536"/>
          <w:tab w:val="right" w:pos="9072"/>
        </w:tabs>
        <w:rPr>
          <w:rFonts w:ascii="Arial" w:hAnsi="Arial" w:cs="Arial"/>
          <w:b/>
          <w:bCs/>
          <w:sz w:val="24"/>
          <w:szCs w:val="24"/>
        </w:rPr>
      </w:pPr>
      <w:r>
        <w:rPr>
          <w:rFonts w:hint="eastAsia" w:ascii="Arial" w:hAnsi="Arial" w:eastAsia="宋体" w:cs="Arial"/>
          <w:b/>
          <w:sz w:val="24"/>
          <w:szCs w:val="24"/>
          <w:lang w:eastAsia="zh-CN"/>
        </w:rPr>
        <w:t>Hangzhou</w:t>
      </w:r>
      <w:r>
        <w:rPr>
          <w:rFonts w:ascii="Arial" w:hAnsi="Arial" w:cs="Arial"/>
          <w:b/>
          <w:sz w:val="24"/>
          <w:szCs w:val="24"/>
        </w:rPr>
        <w:t xml:space="preserve">, </w:t>
      </w:r>
      <w:r>
        <w:rPr>
          <w:rFonts w:hint="eastAsia" w:ascii="Arial" w:hAnsi="Arial" w:eastAsia="宋体" w:cs="Arial"/>
          <w:b/>
          <w:sz w:val="24"/>
          <w:szCs w:val="24"/>
          <w:lang w:eastAsia="zh-CN"/>
        </w:rPr>
        <w:t>China</w:t>
      </w:r>
      <w:r>
        <w:rPr>
          <w:rFonts w:ascii="Arial" w:hAnsi="Arial" w:cs="Arial"/>
          <w:b/>
          <w:sz w:val="24"/>
          <w:szCs w:val="24"/>
        </w:rPr>
        <w:t>, 1</w:t>
      </w:r>
      <w:r>
        <w:rPr>
          <w:rFonts w:hint="eastAsia" w:ascii="Arial" w:hAnsi="Arial" w:eastAsia="宋体" w:cs="Arial"/>
          <w:b/>
          <w:sz w:val="24"/>
          <w:szCs w:val="24"/>
          <w:lang w:eastAsia="zh-CN"/>
        </w:rPr>
        <w:t>5</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eastAsia="宋体" w:cs="Arial"/>
          <w:b/>
          <w:sz w:val="24"/>
          <w:szCs w:val="24"/>
          <w:lang w:eastAsia="zh-CN"/>
        </w:rPr>
        <w:t>19</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eastAsia="宋体" w:cs="Arial"/>
          <w:b/>
          <w:sz w:val="24"/>
          <w:szCs w:val="24"/>
          <w:lang w:eastAsia="zh-CN"/>
        </w:rPr>
        <w:t>May</w:t>
      </w:r>
      <w:r>
        <w:rPr>
          <w:rFonts w:ascii="Arial" w:hAnsi="Arial" w:cs="Arial"/>
          <w:b/>
          <w:sz w:val="24"/>
          <w:szCs w:val="24"/>
        </w:rPr>
        <w:t xml:space="preserve"> 2017</w:t>
      </w:r>
    </w:p>
    <w:p>
      <w:pPr>
        <w:tabs>
          <w:tab w:val="left" w:pos="1805"/>
          <w:tab w:val="right" w:pos="9072"/>
        </w:tabs>
        <w:spacing w:after="0"/>
        <w:ind w:left="1800" w:hanging="1800"/>
        <w:jc w:val="left"/>
        <w:rPr>
          <w:rFonts w:hint="eastAsia" w:ascii="Arial" w:hAnsi="Arial" w:eastAsia="宋体" w:cs="Arial"/>
          <w:b/>
          <w:sz w:val="24"/>
          <w:szCs w:val="24"/>
          <w:lang w:eastAsia="zh-CN"/>
        </w:rPr>
      </w:pPr>
      <w:r>
        <w:rPr>
          <w:rFonts w:ascii="Arial" w:hAnsi="Arial" w:eastAsia="MS Mincho" w:cs="Arial"/>
          <w:b/>
          <w:sz w:val="24"/>
          <w:szCs w:val="24"/>
        </w:rPr>
        <w:t>Title:</w:t>
      </w:r>
      <w:bookmarkStart w:id="0" w:name="Title"/>
      <w:bookmarkEnd w:id="0"/>
      <w:r>
        <w:rPr>
          <w:rFonts w:ascii="Arial" w:hAnsi="Arial" w:eastAsia="MS Mincho" w:cs="Arial"/>
          <w:b/>
          <w:sz w:val="24"/>
          <w:szCs w:val="24"/>
        </w:rPr>
        <w:tab/>
      </w:r>
      <w:r>
        <w:rPr>
          <w:rFonts w:hint="eastAsia" w:ascii="Arial" w:hAnsi="Arial" w:eastAsia="宋体" w:cs="Arial"/>
          <w:b/>
          <w:sz w:val="24"/>
          <w:szCs w:val="24"/>
          <w:lang w:eastAsia="zh-CN"/>
        </w:rPr>
        <w:t>Issues related to PDCCH DMRS</w:t>
      </w:r>
    </w:p>
    <w:p>
      <w:pPr>
        <w:tabs>
          <w:tab w:val="left" w:pos="1805"/>
          <w:tab w:val="right" w:pos="9072"/>
        </w:tabs>
        <w:spacing w:after="0"/>
        <w:ind w:left="1800" w:hanging="1800"/>
        <w:jc w:val="left"/>
        <w:rPr>
          <w:rFonts w:ascii="Arial" w:hAnsi="Arial" w:eastAsia="宋体" w:cs="Arial"/>
          <w:b/>
          <w:sz w:val="24"/>
          <w:szCs w:val="24"/>
        </w:rPr>
      </w:pPr>
      <w:r>
        <w:rPr>
          <w:rFonts w:ascii="Arial" w:hAnsi="Arial" w:eastAsia="MS Mincho" w:cs="Arial"/>
          <w:b/>
          <w:sz w:val="24"/>
          <w:szCs w:val="24"/>
        </w:rPr>
        <w:t xml:space="preserve">Source: </w:t>
      </w:r>
      <w:r>
        <w:rPr>
          <w:rFonts w:ascii="Arial" w:hAnsi="Arial" w:eastAsia="MS Mincho" w:cs="Arial"/>
          <w:b/>
          <w:sz w:val="24"/>
          <w:szCs w:val="24"/>
        </w:rPr>
        <w:tab/>
      </w:r>
      <w:r>
        <w:rPr>
          <w:rFonts w:ascii="Arial" w:hAnsi="Arial" w:eastAsia="宋体" w:cs="Arial"/>
          <w:b/>
          <w:sz w:val="24"/>
          <w:szCs w:val="24"/>
        </w:rPr>
        <w:t>ZTE</w:t>
      </w:r>
    </w:p>
    <w:p>
      <w:pPr>
        <w:tabs>
          <w:tab w:val="left" w:pos="1800"/>
          <w:tab w:val="right" w:pos="9072"/>
        </w:tabs>
        <w:spacing w:after="0"/>
        <w:ind w:left="1800" w:hanging="1800"/>
        <w:jc w:val="left"/>
        <w:rPr>
          <w:rFonts w:ascii="Arial" w:hAnsi="Arial" w:eastAsia="宋体" w:cs="Arial"/>
          <w:b/>
          <w:sz w:val="24"/>
          <w:szCs w:val="24"/>
          <w:lang w:eastAsia="zh-CN"/>
        </w:rPr>
      </w:pPr>
      <w:r>
        <w:rPr>
          <w:rFonts w:ascii="Arial" w:hAnsi="Arial" w:eastAsia="MS Mincho" w:cs="Arial"/>
          <w:b/>
          <w:sz w:val="24"/>
          <w:szCs w:val="24"/>
        </w:rPr>
        <w:t>Agenda Item:</w:t>
      </w:r>
      <w:bookmarkStart w:id="1" w:name="Source"/>
      <w:bookmarkEnd w:id="1"/>
      <w:r>
        <w:rPr>
          <w:rFonts w:ascii="Arial" w:hAnsi="Arial" w:eastAsia="MS Mincho" w:cs="Arial"/>
          <w:b/>
          <w:sz w:val="24"/>
          <w:szCs w:val="24"/>
        </w:rPr>
        <w:tab/>
      </w:r>
      <w:r>
        <w:rPr>
          <w:rFonts w:hint="eastAsia" w:ascii="Arial" w:hAnsi="Arial" w:eastAsia="宋体" w:cs="Arial"/>
          <w:b/>
          <w:sz w:val="24"/>
          <w:szCs w:val="24"/>
          <w:lang w:eastAsia="zh-CN"/>
        </w:rPr>
        <w:t>7</w:t>
      </w:r>
      <w:r>
        <w:rPr>
          <w:rFonts w:ascii="Arial" w:hAnsi="Arial" w:eastAsia="宋体" w:cs="Arial"/>
          <w:b/>
          <w:sz w:val="24"/>
          <w:szCs w:val="24"/>
          <w:lang w:eastAsia="zh-CN"/>
        </w:rPr>
        <w:t>.1.3.1</w:t>
      </w:r>
      <w:r>
        <w:rPr>
          <w:rFonts w:hint="eastAsia" w:ascii="Arial" w:hAnsi="Arial" w:eastAsia="宋体" w:cs="Arial"/>
          <w:b/>
          <w:sz w:val="24"/>
          <w:szCs w:val="24"/>
          <w:lang w:eastAsia="zh-CN"/>
        </w:rPr>
        <w:t>.1</w:t>
      </w:r>
    </w:p>
    <w:p>
      <w:pPr>
        <w:tabs>
          <w:tab w:val="left" w:pos="1810"/>
        </w:tabs>
        <w:spacing w:after="0"/>
        <w:ind w:left="2131" w:hanging="2131"/>
        <w:jc w:val="left"/>
        <w:rPr>
          <w:rFonts w:ascii="Arial" w:hAnsi="Arial" w:cs="Arial"/>
          <w:b/>
          <w:sz w:val="24"/>
          <w:szCs w:val="24"/>
        </w:rPr>
      </w:pPr>
      <w:r>
        <w:rPr>
          <w:rFonts w:ascii="Arial" w:hAnsi="Arial" w:cs="Arial"/>
          <w:b/>
          <w:sz w:val="24"/>
          <w:szCs w:val="24"/>
        </w:rPr>
        <w:t>Document for:</w:t>
      </w:r>
      <w:r>
        <w:rPr>
          <w:rFonts w:ascii="Arial" w:hAnsi="Arial" w:eastAsia="宋体" w:cs="Arial"/>
          <w:b/>
          <w:sz w:val="24"/>
          <w:szCs w:val="24"/>
          <w:lang w:eastAsia="zh-CN"/>
        </w:rPr>
        <w:tab/>
      </w:r>
      <w:bookmarkStart w:id="2" w:name="DocumentFor"/>
      <w:bookmarkEnd w:id="2"/>
      <w:r>
        <w:rPr>
          <w:rFonts w:ascii="Arial" w:hAnsi="Arial" w:eastAsia="Batang"/>
          <w:b/>
          <w:sz w:val="24"/>
          <w:szCs w:val="24"/>
        </w:rPr>
        <w:t>Discussion and Decision</w:t>
      </w:r>
    </w:p>
    <w:p>
      <w:pPr>
        <w:pStyle w:val="2"/>
        <w:numPr>
          <w:ilvl w:val="0"/>
          <w:numId w:val="6"/>
        </w:numPr>
        <w:overflowPunct/>
        <w:autoSpaceDE/>
        <w:autoSpaceDN/>
        <w:adjustRightInd/>
        <w:spacing w:before="120" w:after="0"/>
        <w:textAlignment w:val="auto"/>
        <w:rPr>
          <w:rFonts w:eastAsia="宋体" w:cs="Arial"/>
          <w:b/>
          <w:sz w:val="32"/>
          <w:szCs w:val="32"/>
          <w:lang w:eastAsia="zh-CN"/>
        </w:rPr>
      </w:pPr>
      <w:bookmarkStart w:id="3" w:name="_Ref449341288"/>
      <w:bookmarkStart w:id="4" w:name="_Toc273549427"/>
      <w:r>
        <w:rPr>
          <w:rFonts w:hint="eastAsia" w:eastAsia="宋体" w:cs="Arial"/>
          <w:b/>
          <w:sz w:val="32"/>
          <w:szCs w:val="32"/>
          <w:lang w:eastAsia="zh-CN"/>
        </w:rPr>
        <w:t>Introduction</w:t>
      </w:r>
      <w:bookmarkEnd w:id="3"/>
    </w:p>
    <w:bookmarkEnd w:id="4"/>
    <w:p>
      <w:pPr>
        <w:rPr>
          <w:rFonts w:eastAsia="宋体"/>
          <w:lang w:val="en-US" w:eastAsia="zh-CN"/>
        </w:rPr>
      </w:pPr>
      <w:r>
        <w:rPr>
          <w:rFonts w:eastAsia="宋体"/>
          <w:lang w:val="en-US" w:eastAsia="zh-CN"/>
        </w:rPr>
        <w:t xml:space="preserve">In the </w:t>
      </w:r>
      <w:r>
        <w:rPr>
          <w:rFonts w:hint="eastAsia" w:eastAsia="宋体"/>
          <w:lang w:val="en-US" w:eastAsia="zh-CN"/>
        </w:rPr>
        <w:t>last RAN1</w:t>
      </w:r>
      <w:r>
        <w:rPr>
          <w:rFonts w:eastAsia="宋体"/>
          <w:lang w:val="en-US" w:eastAsia="zh-CN"/>
        </w:rPr>
        <w:t xml:space="preserve"> meeting, some conclusions were reached about the DL control channel design [1]:</w:t>
      </w:r>
    </w:p>
    <w:p>
      <w:pPr>
        <w:rPr>
          <w:rFonts w:hint="eastAsia" w:eastAsia="MS Mincho"/>
          <w:b/>
          <w:iCs/>
          <w:u w:val="single"/>
          <w:lang w:eastAsia="ja-JP"/>
        </w:rPr>
      </w:pPr>
      <w:r>
        <w:rPr>
          <w:rFonts w:hint="eastAsia" w:eastAsia="MS Mincho"/>
          <w:b/>
          <w:iCs/>
          <w:highlight w:val="darkYellow"/>
          <w:u w:val="single"/>
          <w:lang w:eastAsia="ja-JP"/>
        </w:rPr>
        <w:t>Working assumption:</w:t>
      </w:r>
    </w:p>
    <w:p>
      <w:pPr>
        <w:numPr>
          <w:ilvl w:val="0"/>
          <w:numId w:val="7"/>
        </w:numPr>
        <w:overflowPunct/>
        <w:autoSpaceDE/>
        <w:autoSpaceDN/>
        <w:adjustRightInd/>
        <w:spacing w:after="0"/>
        <w:jc w:val="left"/>
        <w:textAlignment w:val="auto"/>
        <w:rPr>
          <w:rFonts w:eastAsia="MS Mincho"/>
          <w:iCs/>
          <w:lang w:val="en-US" w:eastAsia="ja-JP"/>
        </w:rPr>
      </w:pPr>
      <w:r>
        <w:rPr>
          <w:rFonts w:eastAsia="MS Mincho"/>
          <w:iCs/>
          <w:lang w:val="en-US" w:eastAsia="ja-JP"/>
        </w:rPr>
        <w:t>One-port transmit diversity scheme with REG bundling per CCE is used for NR-PDCCH</w:t>
      </w:r>
    </w:p>
    <w:p>
      <w:pPr>
        <w:numPr>
          <w:ilvl w:val="1"/>
          <w:numId w:val="7"/>
        </w:numPr>
        <w:overflowPunct/>
        <w:autoSpaceDE/>
        <w:autoSpaceDN/>
        <w:adjustRightInd/>
        <w:spacing w:after="0"/>
        <w:jc w:val="left"/>
        <w:textAlignment w:val="auto"/>
        <w:rPr>
          <w:rFonts w:eastAsia="MS Mincho"/>
          <w:iCs/>
          <w:lang w:val="en-US" w:eastAsia="ja-JP"/>
        </w:rPr>
      </w:pPr>
      <w:r>
        <w:rPr>
          <w:rFonts w:eastAsia="MS Mincho"/>
          <w:iCs/>
          <w:lang w:val="en-US" w:eastAsia="ja-JP"/>
        </w:rPr>
        <w:t>FFS the bundling size</w:t>
      </w:r>
    </w:p>
    <w:p>
      <w:pPr>
        <w:numPr>
          <w:ilvl w:val="1"/>
          <w:numId w:val="7"/>
        </w:numPr>
        <w:overflowPunct/>
        <w:autoSpaceDE/>
        <w:autoSpaceDN/>
        <w:adjustRightInd/>
        <w:spacing w:after="0"/>
        <w:jc w:val="left"/>
        <w:textAlignment w:val="auto"/>
        <w:rPr>
          <w:rFonts w:hint="eastAsia" w:eastAsia="MS Mincho"/>
          <w:iCs/>
          <w:lang w:val="en-US" w:eastAsia="ja-JP"/>
        </w:rPr>
      </w:pPr>
      <w:r>
        <w:rPr>
          <w:rFonts w:eastAsia="MS Mincho"/>
          <w:iCs/>
          <w:lang w:val="en-US" w:eastAsia="ja-JP"/>
        </w:rPr>
        <w:t>FFS: REG bundling is also for localized mapping in time and/or frequency-domain</w:t>
      </w:r>
    </w:p>
    <w:p>
      <w:pPr>
        <w:rPr>
          <w:rFonts w:hint="eastAsia" w:eastAsia="MS Mincho"/>
          <w:b/>
          <w:iCs/>
          <w:u w:val="single"/>
          <w:lang w:val="en-US" w:eastAsia="ja-JP"/>
        </w:rPr>
      </w:pPr>
      <w:r>
        <w:rPr>
          <w:rFonts w:hint="eastAsia" w:eastAsia="MS Mincho"/>
          <w:b/>
          <w:iCs/>
          <w:highlight w:val="green"/>
          <w:u w:val="single"/>
          <w:lang w:val="en-US" w:eastAsia="ja-JP"/>
        </w:rPr>
        <w:t>Agreements</w:t>
      </w:r>
      <w:r>
        <w:rPr>
          <w:rFonts w:eastAsia="MS Mincho"/>
          <w:b/>
          <w:iCs/>
          <w:highlight w:val="green"/>
          <w:u w:val="single"/>
          <w:lang w:val="en-US" w:eastAsia="ja-JP"/>
        </w:rPr>
        <w:t>:</w:t>
      </w:r>
    </w:p>
    <w:p>
      <w:pPr>
        <w:numPr>
          <w:ilvl w:val="0"/>
          <w:numId w:val="8"/>
        </w:numPr>
        <w:overflowPunct/>
        <w:autoSpaceDE/>
        <w:autoSpaceDN/>
        <w:adjustRightInd/>
        <w:spacing w:after="0"/>
        <w:jc w:val="left"/>
        <w:textAlignment w:val="auto"/>
        <w:rPr>
          <w:rFonts w:eastAsia="MS Mincho"/>
          <w:iCs/>
          <w:lang w:val="en-US" w:eastAsia="ja-JP"/>
        </w:rPr>
      </w:pPr>
      <w:r>
        <w:rPr>
          <w:rFonts w:eastAsia="MS Mincho"/>
          <w:iCs/>
          <w:lang w:val="en-US" w:eastAsia="ja-JP"/>
        </w:rPr>
        <w:t>MU-MIMO is supported NR-PDCCH using at least non-orthogonal DMRS.</w:t>
      </w:r>
    </w:p>
    <w:p>
      <w:pPr>
        <w:numPr>
          <w:ilvl w:val="1"/>
          <w:numId w:val="8"/>
        </w:numPr>
        <w:overflowPunct/>
        <w:autoSpaceDE/>
        <w:autoSpaceDN/>
        <w:adjustRightInd/>
        <w:spacing w:after="0"/>
        <w:jc w:val="left"/>
        <w:textAlignment w:val="auto"/>
        <w:rPr>
          <w:rFonts w:eastAsia="MS Mincho"/>
          <w:iCs/>
          <w:lang w:val="en-US" w:eastAsia="ja-JP"/>
        </w:rPr>
      </w:pPr>
      <w:r>
        <w:rPr>
          <w:rFonts w:eastAsia="MS Mincho"/>
          <w:iCs/>
          <w:lang w:val="en-US" w:eastAsia="ja-JP"/>
        </w:rPr>
        <w:t>FFS: orthogonal DMRS for UE-specific NR-PDCCH</w:t>
      </w:r>
    </w:p>
    <w:p>
      <w:pPr>
        <w:rPr>
          <w:rFonts w:eastAsia="MS Mincho"/>
          <w:iCs/>
          <w:lang w:val="en-US" w:eastAsia="ja-JP"/>
        </w:rPr>
      </w:pPr>
      <w:r>
        <w:rPr>
          <w:rFonts w:eastAsia="MS Mincho"/>
          <w:iCs/>
          <w:lang w:val="en-US" w:eastAsia="ja-JP"/>
        </w:rPr>
        <w:t xml:space="preserve">In this contribution, we give our views </w:t>
      </w:r>
      <w:r>
        <w:rPr>
          <w:rFonts w:hint="eastAsia" w:eastAsia="宋体"/>
          <w:iCs/>
          <w:lang w:val="en-US" w:eastAsia="zh-CN"/>
        </w:rPr>
        <w:t>on DMRS sequence and DMRS overhead reduction of NR-PDCCH</w:t>
      </w:r>
      <w:r>
        <w:rPr>
          <w:rFonts w:eastAsia="MS Mincho"/>
          <w:iCs/>
          <w:lang w:val="en-US" w:eastAsia="ja-JP"/>
        </w:rPr>
        <w:t xml:space="preserve">. Simulation results </w:t>
      </w:r>
      <w:r>
        <w:rPr>
          <w:rFonts w:hint="eastAsia" w:eastAsia="宋体"/>
          <w:iCs/>
          <w:lang w:val="en-US" w:eastAsia="zh-CN"/>
        </w:rPr>
        <w:t>are given for DMRS overhead reduction</w:t>
      </w:r>
      <w:r>
        <w:rPr>
          <w:rFonts w:eastAsia="MS Mincho"/>
          <w:iCs/>
          <w:lang w:val="en-US" w:eastAsia="ja-JP"/>
        </w:rPr>
        <w:t>.</w:t>
      </w:r>
    </w:p>
    <w:p>
      <w:pPr>
        <w:pStyle w:val="2"/>
        <w:numPr>
          <w:ilvl w:val="0"/>
          <w:numId w:val="6"/>
        </w:numPr>
        <w:overflowPunct/>
        <w:autoSpaceDE/>
        <w:autoSpaceDN/>
        <w:adjustRightInd/>
        <w:spacing w:before="120" w:after="0"/>
        <w:textAlignment w:val="auto"/>
        <w:rPr>
          <w:rFonts w:eastAsia="宋体" w:cs="Arial"/>
          <w:b/>
          <w:sz w:val="32"/>
          <w:szCs w:val="32"/>
          <w:lang w:eastAsia="zh-CN"/>
        </w:rPr>
      </w:pPr>
      <w:r>
        <w:rPr>
          <w:rFonts w:eastAsia="宋体" w:cs="Arial"/>
          <w:b/>
          <w:sz w:val="32"/>
          <w:szCs w:val="32"/>
          <w:lang w:eastAsia="zh-CN"/>
        </w:rPr>
        <w:t xml:space="preserve">DMRS </w:t>
      </w:r>
      <w:r>
        <w:rPr>
          <w:rFonts w:hint="eastAsia" w:eastAsia="宋体" w:cs="Arial"/>
          <w:b/>
          <w:sz w:val="32"/>
          <w:szCs w:val="32"/>
          <w:lang w:eastAsia="zh-CN"/>
        </w:rPr>
        <w:t>sequence</w:t>
      </w:r>
      <w:r>
        <w:rPr>
          <w:rFonts w:eastAsia="宋体" w:cs="Arial"/>
          <w:b/>
          <w:sz w:val="32"/>
          <w:szCs w:val="32"/>
          <w:lang w:eastAsia="zh-CN"/>
        </w:rPr>
        <w:t xml:space="preserve"> for NR-PDCCH</w:t>
      </w:r>
    </w:p>
    <w:p>
      <w:pPr>
        <w:pStyle w:val="84"/>
        <w:keepNext/>
        <w:keepLines/>
        <w:numPr>
          <w:ilvl w:val="0"/>
          <w:numId w:val="9"/>
        </w:numPr>
        <w:pBdr>
          <w:top w:val="single" w:color="auto" w:sz="12" w:space="3"/>
        </w:pBdr>
        <w:spacing w:before="240" w:after="180"/>
        <w:ind w:firstLineChars="0"/>
        <w:jc w:val="left"/>
        <w:outlineLvl w:val="0"/>
        <w:rPr>
          <w:rFonts w:ascii="Arial" w:hAnsi="Arial"/>
          <w:vanish/>
          <w:sz w:val="36"/>
          <w:szCs w:val="20"/>
          <w:lang w:val="en-GB"/>
        </w:rPr>
      </w:pPr>
    </w:p>
    <w:p>
      <w:pPr>
        <w:pStyle w:val="84"/>
        <w:keepNext/>
        <w:keepLines/>
        <w:numPr>
          <w:ilvl w:val="0"/>
          <w:numId w:val="10"/>
        </w:numPr>
        <w:pBdr>
          <w:top w:val="single" w:color="auto" w:sz="12" w:space="3"/>
        </w:pBdr>
        <w:tabs>
          <w:tab w:val="left" w:pos="360"/>
        </w:tabs>
        <w:spacing w:before="240" w:after="180"/>
        <w:ind w:firstLineChars="0"/>
        <w:jc w:val="left"/>
        <w:outlineLvl w:val="0"/>
        <w:rPr>
          <w:rFonts w:ascii="Arial" w:hAnsi="Arial"/>
          <w:vanish/>
          <w:sz w:val="36"/>
          <w:szCs w:val="20"/>
          <w:lang w:val="en-GB"/>
        </w:rPr>
      </w:pPr>
    </w:p>
    <w:p>
      <w:pPr>
        <w:pStyle w:val="84"/>
        <w:keepNext/>
        <w:keepLines/>
        <w:numPr>
          <w:ilvl w:val="0"/>
          <w:numId w:val="10"/>
        </w:numPr>
        <w:pBdr>
          <w:top w:val="single" w:color="auto" w:sz="12" w:space="3"/>
        </w:pBdr>
        <w:tabs>
          <w:tab w:val="left" w:pos="360"/>
        </w:tabs>
        <w:spacing w:before="240" w:after="180"/>
        <w:ind w:firstLineChars="0"/>
        <w:jc w:val="left"/>
        <w:outlineLvl w:val="0"/>
        <w:rPr>
          <w:rFonts w:ascii="Arial" w:hAnsi="Arial"/>
          <w:vanish/>
          <w:sz w:val="36"/>
          <w:szCs w:val="20"/>
          <w:lang w:val="en-GB"/>
        </w:rPr>
      </w:pPr>
    </w:p>
    <w:p>
      <w:pPr>
        <w:rPr>
          <w:rFonts w:hint="eastAsia" w:eastAsia="宋体"/>
          <w:lang w:val="en-US" w:eastAsia="zh-CN"/>
        </w:rPr>
      </w:pPr>
      <w:r>
        <w:rPr>
          <w:rFonts w:hint="eastAsia" w:eastAsia="宋体"/>
          <w:lang w:val="en-US" w:eastAsia="zh-CN"/>
        </w:rPr>
        <w:t xml:space="preserve">In LTE, CRS sequence for PDCCH is generated </w:t>
      </w:r>
      <w:r>
        <w:rPr>
          <w:rFonts w:eastAsia="宋体"/>
          <w:lang w:val="en-US" w:eastAsia="zh-CN"/>
        </w:rPr>
        <w:t>according</w:t>
      </w:r>
      <w:r>
        <w:rPr>
          <w:rFonts w:hint="eastAsia" w:eastAsia="宋体"/>
          <w:lang w:val="en-US" w:eastAsia="zh-CN"/>
        </w:rPr>
        <w:t xml:space="preserve"> to the system bandwidth and DMRS for ePDCCH is generated according to the system bandwidth and the number of DMRS symbols during one PRB. In NR, new </w:t>
      </w:r>
      <w:r>
        <w:rPr>
          <w:rFonts w:eastAsia="宋体"/>
          <w:lang w:val="en-US" w:eastAsia="zh-CN"/>
        </w:rPr>
        <w:t>requirements</w:t>
      </w:r>
      <w:r>
        <w:rPr>
          <w:rFonts w:hint="eastAsia" w:eastAsia="宋体"/>
          <w:lang w:val="en-US" w:eastAsia="zh-CN"/>
        </w:rPr>
        <w:t xml:space="preserve"> are introduced</w:t>
      </w:r>
      <w:r>
        <w:rPr>
          <w:rFonts w:eastAsia="宋体"/>
          <w:lang w:val="en-US" w:eastAsia="zh-CN"/>
        </w:rPr>
        <w:t>.</w:t>
      </w:r>
      <w:r>
        <w:rPr>
          <w:rFonts w:hint="eastAsia" w:eastAsia="宋体"/>
          <w:lang w:val="en-US" w:eastAsia="zh-CN"/>
        </w:rPr>
        <w:t xml:space="preserve"> </w:t>
      </w:r>
      <w:r>
        <w:rPr>
          <w:rFonts w:eastAsia="宋体"/>
          <w:lang w:val="en-US" w:eastAsia="zh-CN"/>
        </w:rPr>
        <w:t>O</w:t>
      </w:r>
      <w:r>
        <w:rPr>
          <w:rFonts w:hint="eastAsia" w:eastAsia="宋体"/>
          <w:lang w:val="en-US" w:eastAsia="zh-CN"/>
        </w:rPr>
        <w:t xml:space="preserve">ne DCI message </w:t>
      </w:r>
      <w:r>
        <w:rPr>
          <w:rFonts w:eastAsia="宋体"/>
          <w:lang w:val="en-US" w:eastAsia="zh-CN"/>
        </w:rPr>
        <w:t>is located within one control resource set [</w:t>
      </w:r>
      <w:r>
        <w:rPr>
          <w:rFonts w:hint="eastAsia" w:eastAsia="宋体"/>
          <w:lang w:val="en-US" w:eastAsia="zh-CN"/>
        </w:rPr>
        <w:t>2</w:t>
      </w:r>
      <w:r>
        <w:rPr>
          <w:rFonts w:eastAsia="宋体"/>
          <w:lang w:val="en-US" w:eastAsia="zh-CN"/>
        </w:rPr>
        <w:t>].</w:t>
      </w:r>
      <w:r>
        <w:rPr>
          <w:rFonts w:hint="eastAsia" w:eastAsia="宋体"/>
          <w:lang w:val="en-US" w:eastAsia="zh-CN"/>
        </w:rPr>
        <w:t xml:space="preserve"> UEs with different bandwidth capabilities can access the same NR carrier regardless of the NR carrier bandwidth</w:t>
      </w:r>
      <w:r>
        <w:rPr>
          <w:rFonts w:eastAsia="宋体"/>
          <w:lang w:val="en-US" w:eastAsia="zh-CN"/>
        </w:rPr>
        <w:t>.</w:t>
      </w:r>
      <w:r>
        <w:rPr>
          <w:rFonts w:hint="eastAsia" w:eastAsia="宋体"/>
          <w:lang w:val="en-US" w:eastAsia="zh-CN"/>
        </w:rPr>
        <w:t xml:space="preserve"> </w:t>
      </w:r>
      <w:r>
        <w:rPr>
          <w:rFonts w:eastAsia="宋体"/>
          <w:lang w:val="en-US" w:eastAsia="zh-CN"/>
        </w:rPr>
        <w:t xml:space="preserve">The </w:t>
      </w:r>
      <w:r>
        <w:rPr>
          <w:rFonts w:hint="eastAsia" w:eastAsia="宋体"/>
          <w:lang w:val="en-US" w:eastAsia="zh-CN"/>
        </w:rPr>
        <w:t>maximum interleaving region for NR PDCCH may be one control resource set [3]</w:t>
      </w:r>
      <w:r>
        <w:rPr>
          <w:rFonts w:eastAsia="宋体"/>
          <w:lang w:val="en-US" w:eastAsia="zh-CN"/>
        </w:rPr>
        <w:t>.</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generation of DMRS sequence for NR PDCCH should be </w:t>
      </w:r>
      <w:r>
        <w:rPr>
          <w:rFonts w:eastAsia="宋体"/>
          <w:lang w:val="en-US" w:eastAsia="zh-CN"/>
        </w:rPr>
        <w:t>considered accordingly</w:t>
      </w:r>
      <w:r>
        <w:rPr>
          <w:rFonts w:hint="eastAsia" w:eastAsia="宋体"/>
          <w:lang w:val="en-US" w:eastAsia="zh-CN"/>
        </w:rPr>
        <w:t xml:space="preserve">. </w:t>
      </w:r>
    </w:p>
    <w:p>
      <w:pPr>
        <w:rPr>
          <w:rFonts w:hint="eastAsia" w:eastAsia="宋体"/>
          <w:lang w:val="en-US" w:eastAsia="zh-CN"/>
        </w:rPr>
      </w:pPr>
      <w:r>
        <w:rPr>
          <w:rFonts w:hint="eastAsia" w:eastAsia="宋体"/>
          <w:lang w:val="en-US" w:eastAsia="zh-CN"/>
        </w:rPr>
        <w:t>Following possible approaches for</w:t>
      </w:r>
      <w:r>
        <w:rPr>
          <w:rFonts w:eastAsia="宋体"/>
          <w:lang w:val="en-US" w:eastAsia="zh-CN"/>
        </w:rPr>
        <w:t xml:space="preserve"> </w:t>
      </w:r>
      <w:r>
        <w:rPr>
          <w:rFonts w:hint="eastAsia" w:eastAsia="宋体"/>
          <w:lang w:val="en-US" w:eastAsia="zh-CN"/>
        </w:rPr>
        <w:t>NR PDCCH</w:t>
      </w:r>
      <w:r>
        <w:rPr>
          <w:rFonts w:eastAsia="宋体"/>
          <w:lang w:val="en-US" w:eastAsia="zh-CN"/>
        </w:rPr>
        <w:t xml:space="preserve"> </w:t>
      </w:r>
      <w:r>
        <w:rPr>
          <w:rFonts w:hint="eastAsia" w:eastAsia="宋体"/>
          <w:lang w:val="en-US" w:eastAsia="zh-CN"/>
        </w:rPr>
        <w:t>DMRS sequence generation could be considered:</w:t>
      </w:r>
    </w:p>
    <w:p>
      <w:pPr>
        <w:numPr>
          <w:ilvl w:val="0"/>
          <w:numId w:val="11"/>
        </w:numPr>
        <w:rPr>
          <w:rFonts w:hint="eastAsia" w:eastAsia="宋体"/>
          <w:lang w:val="en-US" w:eastAsia="zh-CN"/>
        </w:rPr>
      </w:pPr>
      <w:r>
        <w:rPr>
          <w:rFonts w:hint="eastAsia" w:eastAsia="宋体"/>
          <w:lang w:val="en-US" w:eastAsia="zh-CN"/>
        </w:rPr>
        <w:t>DMRS sequence is generated according to the system bandwidth.</w:t>
      </w:r>
    </w:p>
    <w:p>
      <w:pPr>
        <w:numPr>
          <w:ilvl w:val="0"/>
          <w:numId w:val="11"/>
        </w:numPr>
        <w:rPr>
          <w:rFonts w:hint="eastAsia" w:eastAsia="宋体"/>
          <w:lang w:val="en-US" w:eastAsia="zh-CN"/>
        </w:rPr>
      </w:pPr>
      <w:r>
        <w:rPr>
          <w:rFonts w:hint="eastAsia" w:eastAsia="宋体"/>
          <w:lang w:val="en-US" w:eastAsia="zh-CN"/>
        </w:rPr>
        <w:t>DMRS sequence is generated according to the bandwidth corresponding to one CORESET.</w:t>
      </w:r>
    </w:p>
    <w:p>
      <w:pPr>
        <w:numPr>
          <w:ilvl w:val="0"/>
          <w:numId w:val="11"/>
        </w:numPr>
        <w:rPr>
          <w:rFonts w:hint="eastAsia" w:eastAsia="宋体"/>
          <w:lang w:val="en-US" w:eastAsia="zh-CN"/>
        </w:rPr>
      </w:pPr>
      <w:r>
        <w:rPr>
          <w:rFonts w:hint="eastAsia" w:eastAsia="宋体"/>
          <w:lang w:val="en-US" w:eastAsia="zh-CN"/>
        </w:rPr>
        <w:t>DMRS sequence is generated according to the UE bandwidth.</w:t>
      </w:r>
    </w:p>
    <w:p>
      <w:pPr>
        <w:rPr>
          <w:rFonts w:hint="eastAsia" w:eastAsia="宋体"/>
          <w:lang w:val="en-US" w:eastAsia="zh-CN"/>
        </w:rPr>
      </w:pPr>
      <w:r>
        <w:rPr>
          <w:rFonts w:hint="eastAsia" w:eastAsia="宋体"/>
          <w:lang w:val="en-US" w:eastAsia="zh-CN"/>
        </w:rPr>
        <w:t>Compar</w:t>
      </w:r>
      <w:r>
        <w:rPr>
          <w:rFonts w:eastAsia="宋体"/>
          <w:lang w:val="en-US" w:eastAsia="zh-CN"/>
        </w:rPr>
        <w:t>ing</w:t>
      </w:r>
      <w:r>
        <w:rPr>
          <w:rFonts w:hint="eastAsia" w:eastAsia="宋体"/>
          <w:lang w:val="en-US" w:eastAsia="zh-CN"/>
        </w:rPr>
        <w:t xml:space="preserve"> the above </w:t>
      </w:r>
      <w:r>
        <w:rPr>
          <w:rFonts w:eastAsia="宋体"/>
          <w:lang w:val="en-US" w:eastAsia="zh-CN"/>
        </w:rPr>
        <w:t>approaches,</w:t>
      </w:r>
      <w:r>
        <w:rPr>
          <w:rFonts w:hint="eastAsia" w:eastAsia="宋体"/>
          <w:lang w:val="en-US" w:eastAsia="zh-CN"/>
        </w:rPr>
        <w:t xml:space="preserve"> all</w:t>
      </w:r>
      <w:r>
        <w:rPr>
          <w:rFonts w:eastAsia="宋体"/>
          <w:lang w:val="en-US" w:eastAsia="zh-CN"/>
        </w:rPr>
        <w:t xml:space="preserve"> of them</w:t>
      </w:r>
      <w:r>
        <w:rPr>
          <w:rFonts w:hint="eastAsia" w:eastAsia="宋体"/>
          <w:lang w:val="en-US" w:eastAsia="zh-CN"/>
        </w:rPr>
        <w:t xml:space="preserve"> can make non-orthogonal or orthogonal MU for UEs with the same bandwidth</w:t>
      </w:r>
      <w:r>
        <w:rPr>
          <w:rFonts w:eastAsia="宋体"/>
          <w:lang w:val="en-US" w:eastAsia="zh-CN"/>
        </w:rPr>
        <w:t>. O</w:t>
      </w:r>
      <w:r>
        <w:rPr>
          <w:rFonts w:hint="eastAsia" w:eastAsia="宋体"/>
          <w:lang w:val="en-US" w:eastAsia="zh-CN"/>
        </w:rPr>
        <w:t xml:space="preserve">nly the first one, i.e. DMRS sequence for NR PDCCH is generated according to the system bandwidth, is benefit for MU </w:t>
      </w:r>
      <w:r>
        <w:rPr>
          <w:rFonts w:eastAsia="宋体"/>
          <w:lang w:val="en-US" w:eastAsia="zh-CN"/>
        </w:rPr>
        <w:t>between</w:t>
      </w:r>
      <w:r>
        <w:rPr>
          <w:rFonts w:hint="eastAsia" w:eastAsia="宋体"/>
          <w:lang w:val="en-US" w:eastAsia="zh-CN"/>
        </w:rPr>
        <w:t xml:space="preserve"> UEs with different bandwidth</w:t>
      </w:r>
      <w:r>
        <w:rPr>
          <w:rFonts w:eastAsia="宋体"/>
          <w:lang w:val="en-US" w:eastAsia="zh-CN"/>
        </w:rPr>
        <w:t>. It</w:t>
      </w:r>
      <w:r>
        <w:rPr>
          <w:rFonts w:hint="eastAsia" w:eastAsia="宋体"/>
          <w:lang w:val="en-US" w:eastAsia="zh-CN"/>
        </w:rPr>
        <w:t xml:space="preserve"> also</w:t>
      </w:r>
      <w:r>
        <w:rPr>
          <w:rFonts w:eastAsia="宋体"/>
          <w:lang w:val="en-US" w:eastAsia="zh-CN"/>
        </w:rPr>
        <w:t xml:space="preserve"> support</w:t>
      </w:r>
      <w:r>
        <w:rPr>
          <w:rFonts w:hint="eastAsia" w:eastAsia="宋体"/>
          <w:lang w:val="en-US" w:eastAsia="zh-CN"/>
        </w:rPr>
        <w:t xml:space="preserve"> CoMP between gNBs with different bandwidth. As a result, we propose DMRS sequence for NR PDCCH is generated according to the system bandwidth should be supported for NR PDCCH. PN sequence is still a good choice for this DMRS sequence. Further, similar to DMRS for ePDCCH, DMRS sequence generation for NR PDCCH is also related to the duration of control region. However, different CORESET may be with different duration. A maximum duration should be defined for NR PDCCH DMRS sequence </w:t>
      </w:r>
      <w:r>
        <w:rPr>
          <w:rFonts w:eastAsia="宋体"/>
          <w:lang w:val="en-US" w:eastAsia="zh-CN"/>
        </w:rPr>
        <w:t>generation</w:t>
      </w:r>
      <w:r>
        <w:rPr>
          <w:rFonts w:hint="eastAsia" w:eastAsia="宋体"/>
          <w:lang w:val="en-US" w:eastAsia="zh-CN"/>
        </w:rPr>
        <w:t xml:space="preserve"> such as maximum CORESET duration</w:t>
      </w:r>
      <w:r>
        <w:rPr>
          <w:rFonts w:eastAsia="宋体"/>
          <w:lang w:val="en-US" w:eastAsia="zh-CN"/>
        </w:rPr>
        <w:t>,</w:t>
      </w:r>
      <w:r>
        <w:rPr>
          <w:rFonts w:hint="eastAsia" w:eastAsia="宋体"/>
          <w:lang w:val="en-US" w:eastAsia="zh-CN"/>
        </w:rPr>
        <w:t xml:space="preserve"> according to which DMRS sequence is generated. One example for NR PDCCH DMRS sequence generation is showing in the following Figure 1. </w:t>
      </w:r>
    </w:p>
    <w:p>
      <w:pPr>
        <w:jc w:val="center"/>
        <w:rPr>
          <w:rFonts w:hint="eastAsia" w:eastAsia="宋体"/>
          <w:lang w:val="en-US" w:eastAsia="zh-CN"/>
        </w:rPr>
      </w:pPr>
      <w:r>
        <w:object>
          <v:shape id="_x0000_i1025" o:spt="75" type="#_x0000_t75" style="height:202.75pt;width:218.9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jc w:val="center"/>
        <w:rPr>
          <w:rFonts w:hint="eastAsia" w:eastAsia="宋体"/>
          <w:lang w:val="en-US" w:eastAsia="zh-CN"/>
        </w:rPr>
      </w:pPr>
      <w:r>
        <w:rPr>
          <w:rFonts w:hint="eastAsia" w:eastAsia="宋体"/>
          <w:lang w:val="en-US" w:eastAsia="zh-CN"/>
        </w:rPr>
        <w:t>Figure 1 One example for DMRS sequence generation</w:t>
      </w:r>
    </w:p>
    <w:p>
      <w:pPr>
        <w:rPr>
          <w:rFonts w:hint="eastAsia" w:eastAsia="宋体"/>
          <w:lang w:val="en-US" w:eastAsia="zh-CN"/>
        </w:rPr>
      </w:pPr>
      <w:r>
        <w:rPr>
          <w:rFonts w:hint="eastAsia" w:eastAsia="宋体"/>
          <w:lang w:val="en-US" w:eastAsia="zh-CN"/>
        </w:rPr>
        <w:t xml:space="preserve">In Figure 1, DMRS </w:t>
      </w:r>
      <w:r>
        <w:rPr>
          <w:rFonts w:eastAsia="宋体"/>
          <w:lang w:val="en-US" w:eastAsia="zh-CN"/>
        </w:rPr>
        <w:t>sequence</w:t>
      </w:r>
      <w:r>
        <w:rPr>
          <w:rFonts w:hint="eastAsia" w:eastAsia="宋体"/>
          <w:lang w:val="en-US" w:eastAsia="zh-CN"/>
        </w:rPr>
        <w:t xml:space="preserve"> is generated according to the system bandwidth and the maximum CORESET duration. </w:t>
      </w:r>
      <w:r>
        <w:rPr>
          <w:rFonts w:eastAsia="宋体"/>
          <w:lang w:val="en-US" w:eastAsia="zh-CN"/>
        </w:rPr>
        <w:t>In sequence generation,</w:t>
      </w:r>
      <w:r>
        <w:rPr>
          <w:rFonts w:hint="eastAsia" w:eastAsia="宋体"/>
          <w:lang w:val="en-US" w:eastAsia="zh-CN"/>
        </w:rPr>
        <w:t xml:space="preserve"> we assume DMRS RE is in every symbol during the maximum CORESET duration. In another way, DMRS sequence is generated according to the maximum CORESET duration</w:t>
      </w:r>
      <w:r>
        <w:rPr>
          <w:rFonts w:eastAsia="宋体"/>
          <w:lang w:val="en-US" w:eastAsia="zh-CN"/>
        </w:rPr>
        <w:t xml:space="preserve"> and truncated according the transmitting OFDM symbols</w:t>
      </w:r>
      <w:r>
        <w:rPr>
          <w:rFonts w:hint="eastAsia" w:eastAsia="宋体"/>
          <w:lang w:val="en-US" w:eastAsia="zh-CN"/>
        </w:rPr>
        <w:t>. Then</w:t>
      </w:r>
      <w:r>
        <w:rPr>
          <w:rFonts w:eastAsia="宋体"/>
          <w:lang w:val="en-US" w:eastAsia="zh-CN"/>
        </w:rPr>
        <w:t>,</w:t>
      </w:r>
      <w:r>
        <w:rPr>
          <w:rFonts w:hint="eastAsia" w:eastAsia="宋体"/>
          <w:lang w:val="en-US" w:eastAsia="zh-CN"/>
        </w:rPr>
        <w:t xml:space="preserve"> UE can obtain its DMRS sequence from the above DMRS sequence according to the resource </w:t>
      </w:r>
      <w:r>
        <w:rPr>
          <w:rFonts w:eastAsia="宋体"/>
          <w:lang w:val="en-US" w:eastAsia="zh-CN"/>
        </w:rPr>
        <w:t>transmitting this</w:t>
      </w:r>
      <w:r>
        <w:rPr>
          <w:rFonts w:hint="eastAsia" w:eastAsia="宋体"/>
          <w:lang w:val="en-US" w:eastAsia="zh-CN"/>
        </w:rPr>
        <w:t xml:space="preserve"> DCI.</w:t>
      </w:r>
    </w:p>
    <w:p>
      <w:pPr>
        <w:rPr>
          <w:rFonts w:hint="eastAsia" w:eastAsia="宋体"/>
          <w:lang w:val="en-US" w:eastAsia="zh-CN"/>
        </w:rPr>
      </w:pPr>
      <w:r>
        <w:rPr>
          <w:rFonts w:hint="eastAsia" w:eastAsia="宋体"/>
          <w:lang w:val="en-US" w:eastAsia="zh-CN"/>
        </w:rPr>
        <w:t xml:space="preserve">Besides, since non-orthogonal DMRS for MU-MIMO is supported for NR-PDCCH, interference cancellation gets necessary for NR-PDCCH. Thus, the scrambling parameter of PN sequence for NR PDCCH DMRS should be configured other than UE RNTI. </w:t>
      </w:r>
      <w:r>
        <w:rPr>
          <w:rFonts w:eastAsia="宋体"/>
          <w:lang w:val="en-US" w:eastAsia="zh-CN"/>
        </w:rPr>
        <w:t>T</w:t>
      </w:r>
      <w:r>
        <w:rPr>
          <w:rFonts w:hint="eastAsia" w:eastAsia="宋体"/>
          <w:lang w:val="en-US" w:eastAsia="zh-CN"/>
        </w:rPr>
        <w:t xml:space="preserve">he configured scrambling parameter </w:t>
      </w:r>
      <w:r>
        <w:rPr>
          <w:rFonts w:eastAsia="宋体"/>
          <w:lang w:val="en-US" w:eastAsia="zh-CN"/>
        </w:rPr>
        <w:t xml:space="preserve">of 1 UE can be used to implicitly derive other </w:t>
      </w:r>
      <w:r>
        <w:rPr>
          <w:rFonts w:hint="eastAsia" w:eastAsia="宋体"/>
          <w:lang w:val="en-US" w:eastAsia="zh-CN"/>
        </w:rPr>
        <w:t>paired UE</w:t>
      </w:r>
      <w:r>
        <w:rPr>
          <w:rFonts w:eastAsia="宋体"/>
          <w:lang w:val="en-US" w:eastAsia="zh-CN"/>
        </w:rPr>
        <w:t xml:space="preserve">’s scrambling parameter </w:t>
      </w:r>
      <w:r>
        <w:rPr>
          <w:rFonts w:hint="eastAsia" w:eastAsia="宋体"/>
          <w:lang w:val="en-US" w:eastAsia="zh-CN"/>
        </w:rPr>
        <w:t>for interference cancellation.</w:t>
      </w:r>
      <w:r>
        <w:rPr>
          <w:rFonts w:eastAsia="宋体"/>
          <w:lang w:val="en-US" w:eastAsia="zh-CN"/>
        </w:rPr>
        <w:t xml:space="preserve"> This will allow better MU-MIMO operation.</w:t>
      </w:r>
    </w:p>
    <w:p>
      <w:pPr>
        <w:rPr>
          <w:rFonts w:hint="eastAsia" w:eastAsia="宋体"/>
          <w:b/>
          <w:i/>
          <w:lang w:val="en-US" w:eastAsia="zh-CN"/>
        </w:rPr>
      </w:pPr>
      <w:r>
        <w:rPr>
          <w:rFonts w:hint="eastAsia" w:eastAsia="宋体"/>
          <w:b/>
          <w:i/>
          <w:lang w:val="en-US" w:eastAsia="zh-CN"/>
        </w:rPr>
        <w:t>Proposal 1: NR PDCCH DMRS sequence</w:t>
      </w:r>
      <w:r>
        <w:rPr>
          <w:rFonts w:eastAsia="宋体"/>
          <w:b/>
          <w:i/>
          <w:lang w:val="en-US" w:eastAsia="zh-CN"/>
        </w:rPr>
        <w:t xml:space="preserve"> is generated</w:t>
      </w:r>
      <w:r>
        <w:rPr>
          <w:rFonts w:hint="eastAsia" w:eastAsia="宋体"/>
          <w:b/>
          <w:i/>
          <w:lang w:val="en-US" w:eastAsia="zh-CN"/>
        </w:rPr>
        <w:t xml:space="preserve"> according to the system bandwidth and the maximum CORESET duration. </w:t>
      </w:r>
    </w:p>
    <w:p>
      <w:pPr>
        <w:numPr>
          <w:ilvl w:val="2"/>
          <w:numId w:val="8"/>
        </w:numPr>
        <w:rPr>
          <w:rFonts w:hint="eastAsia" w:eastAsia="宋体"/>
          <w:b/>
          <w:i/>
          <w:lang w:val="en-US" w:eastAsia="zh-CN"/>
        </w:rPr>
      </w:pPr>
      <w:r>
        <w:rPr>
          <w:rFonts w:hint="eastAsia" w:eastAsia="宋体"/>
          <w:b/>
          <w:i/>
          <w:lang w:val="en-US" w:eastAsia="zh-CN"/>
        </w:rPr>
        <w:t>PN sequence can be the NR PDCCH DMRS sequence.</w:t>
      </w:r>
    </w:p>
    <w:p>
      <w:pPr>
        <w:numPr>
          <w:ilvl w:val="2"/>
          <w:numId w:val="8"/>
        </w:numPr>
        <w:rPr>
          <w:rFonts w:hint="eastAsia" w:eastAsia="宋体"/>
          <w:b/>
          <w:i/>
          <w:lang w:val="en-US" w:eastAsia="zh-CN"/>
        </w:rPr>
      </w:pPr>
      <w:r>
        <w:rPr>
          <w:rFonts w:hint="eastAsia" w:eastAsia="宋体"/>
          <w:b/>
          <w:i/>
          <w:lang w:val="en-US" w:eastAsia="zh-CN"/>
        </w:rPr>
        <w:t xml:space="preserve">The scrambling parameter of PN </w:t>
      </w:r>
      <w:r>
        <w:rPr>
          <w:rFonts w:eastAsia="宋体"/>
          <w:b/>
          <w:i/>
          <w:lang w:val="en-US" w:eastAsia="zh-CN"/>
        </w:rPr>
        <w:t>sequence</w:t>
      </w:r>
      <w:r>
        <w:rPr>
          <w:rFonts w:hint="eastAsia" w:eastAsia="宋体"/>
          <w:b/>
          <w:i/>
          <w:lang w:val="en-US" w:eastAsia="zh-CN"/>
        </w:rPr>
        <w:t xml:space="preserve"> for NR PDCCH DMRS should be configured </w:t>
      </w:r>
      <w:r>
        <w:rPr>
          <w:rFonts w:eastAsia="宋体"/>
          <w:b/>
          <w:i/>
          <w:lang w:val="en-US" w:eastAsia="zh-CN"/>
        </w:rPr>
        <w:t>for MU-MIMO user pairing</w:t>
      </w:r>
      <w:r>
        <w:rPr>
          <w:rFonts w:hint="eastAsia" w:eastAsia="宋体"/>
          <w:b/>
          <w:i/>
          <w:lang w:val="en-US" w:eastAsia="zh-CN"/>
        </w:rPr>
        <w:t>.</w:t>
      </w:r>
    </w:p>
    <w:p>
      <w:pPr>
        <w:pStyle w:val="2"/>
        <w:numPr>
          <w:ilvl w:val="0"/>
          <w:numId w:val="6"/>
        </w:numPr>
        <w:overflowPunct/>
        <w:autoSpaceDE/>
        <w:autoSpaceDN/>
        <w:adjustRightInd/>
        <w:spacing w:before="120" w:after="0"/>
        <w:textAlignment w:val="auto"/>
        <w:rPr>
          <w:rFonts w:eastAsia="宋体" w:cs="Arial"/>
          <w:b/>
          <w:sz w:val="32"/>
          <w:szCs w:val="32"/>
          <w:lang w:eastAsia="zh-CN"/>
        </w:rPr>
      </w:pPr>
      <w:r>
        <w:rPr>
          <w:rFonts w:hint="eastAsia" w:eastAsia="宋体" w:cs="Arial"/>
          <w:b/>
          <w:sz w:val="32"/>
          <w:szCs w:val="32"/>
          <w:lang w:eastAsia="zh-CN"/>
        </w:rPr>
        <w:t>DMRS overhead reduction for NR-PDCCH</w:t>
      </w:r>
    </w:p>
    <w:p>
      <w:pPr>
        <w:pStyle w:val="84"/>
        <w:keepNext/>
        <w:keepLines/>
        <w:numPr>
          <w:ilvl w:val="0"/>
          <w:numId w:val="9"/>
        </w:numPr>
        <w:pBdr>
          <w:top w:val="single" w:color="auto" w:sz="12" w:space="3"/>
        </w:pBdr>
        <w:spacing w:before="240" w:after="180"/>
        <w:ind w:firstLineChars="0"/>
        <w:jc w:val="left"/>
        <w:outlineLvl w:val="0"/>
        <w:rPr>
          <w:rFonts w:ascii="Arial" w:hAnsi="Arial"/>
          <w:vanish/>
          <w:sz w:val="36"/>
          <w:szCs w:val="20"/>
          <w:lang w:val="en-GB"/>
        </w:rPr>
      </w:pPr>
    </w:p>
    <w:p>
      <w:pPr>
        <w:pStyle w:val="84"/>
        <w:keepNext/>
        <w:keepLines/>
        <w:numPr>
          <w:ilvl w:val="0"/>
          <w:numId w:val="10"/>
        </w:numPr>
        <w:pBdr>
          <w:top w:val="single" w:color="auto" w:sz="12" w:space="3"/>
        </w:pBdr>
        <w:tabs>
          <w:tab w:val="left" w:pos="360"/>
        </w:tabs>
        <w:spacing w:before="240" w:after="180"/>
        <w:ind w:firstLineChars="0"/>
        <w:jc w:val="left"/>
        <w:outlineLvl w:val="0"/>
        <w:rPr>
          <w:rFonts w:ascii="Arial" w:hAnsi="Arial"/>
          <w:vanish/>
          <w:sz w:val="36"/>
          <w:szCs w:val="20"/>
          <w:lang w:val="en-GB"/>
        </w:rPr>
      </w:pPr>
    </w:p>
    <w:p>
      <w:pPr>
        <w:pStyle w:val="84"/>
        <w:keepNext/>
        <w:keepLines/>
        <w:numPr>
          <w:ilvl w:val="0"/>
          <w:numId w:val="10"/>
        </w:numPr>
        <w:pBdr>
          <w:top w:val="single" w:color="auto" w:sz="12" w:space="3"/>
        </w:pBdr>
        <w:tabs>
          <w:tab w:val="left" w:pos="360"/>
        </w:tabs>
        <w:spacing w:before="240" w:after="180"/>
        <w:ind w:firstLineChars="0"/>
        <w:jc w:val="left"/>
        <w:outlineLvl w:val="0"/>
        <w:rPr>
          <w:rFonts w:ascii="Arial" w:hAnsi="Arial"/>
          <w:vanish/>
          <w:sz w:val="36"/>
          <w:szCs w:val="20"/>
          <w:lang w:val="en-GB"/>
        </w:rPr>
      </w:pPr>
    </w:p>
    <w:p>
      <w:pPr>
        <w:rPr>
          <w:rFonts w:hint="eastAsia" w:eastAsia="宋体"/>
          <w:lang w:val="en-US" w:eastAsia="zh-CN"/>
        </w:rPr>
      </w:pPr>
      <w:r>
        <w:rPr>
          <w:rFonts w:hint="eastAsia" w:eastAsia="宋体"/>
          <w:lang w:val="en-US" w:eastAsia="zh-CN"/>
        </w:rPr>
        <w:t>As discussed in companion contribution [4], both time first and frequency first CCE-REG mapping should be supported for NR PDCCH. One CORESET could be configured either time first or frequency first mapping. As a result, one of benefits of time first mapping could be supported of DMRS overhead reduction.</w:t>
      </w:r>
    </w:p>
    <w:p>
      <w:pPr>
        <w:rPr>
          <w:rFonts w:eastAsia="宋体"/>
          <w:lang w:val="en-US" w:eastAsia="zh-CN"/>
        </w:rPr>
      </w:pPr>
      <w:r>
        <w:rPr>
          <w:rFonts w:hint="eastAsia" w:eastAsia="宋体"/>
          <w:lang w:val="en-US" w:eastAsia="zh-CN"/>
        </w:rPr>
        <w:t xml:space="preserve">In this section, we compare the </w:t>
      </w:r>
      <w:r>
        <w:rPr>
          <w:rFonts w:eastAsia="宋体"/>
          <w:lang w:val="en-US" w:eastAsia="zh-CN"/>
        </w:rPr>
        <w:t>following cases for comparing the performance of NR PDCCH with and without DMRS overhead reduction</w:t>
      </w:r>
      <w:r>
        <w:rPr>
          <w:rFonts w:hint="eastAsia" w:eastAsia="宋体"/>
          <w:lang w:val="en-US" w:eastAsia="zh-CN"/>
        </w:rPr>
        <w:t xml:space="preserve"> and time first mapping is assumed</w:t>
      </w:r>
      <w:r>
        <w:rPr>
          <w:rFonts w:eastAsia="宋体"/>
          <w:lang w:val="en-US" w:eastAsia="zh-CN"/>
        </w:rPr>
        <w:t>:</w:t>
      </w:r>
    </w:p>
    <w:p>
      <w:pPr>
        <w:rPr>
          <w:rFonts w:hint="eastAsia" w:eastAsia="宋体"/>
          <w:lang w:val="en-US" w:eastAsia="zh-CN"/>
        </w:rPr>
      </w:pPr>
      <w:r>
        <w:rPr>
          <w:rFonts w:hint="eastAsia" w:eastAsia="宋体"/>
          <w:lang w:val="en-US" w:eastAsia="zh-CN"/>
        </w:rPr>
        <w:t>Case 1-1: NR PDCCH is transmitted assuming localized mapping and closed loop rank 1 transmission scheme without DMRS overhead reduction.</w:t>
      </w:r>
    </w:p>
    <w:p>
      <w:pPr>
        <w:rPr>
          <w:rFonts w:hint="eastAsia" w:eastAsia="宋体"/>
          <w:lang w:val="en-US" w:eastAsia="zh-CN"/>
        </w:rPr>
      </w:pPr>
      <w:r>
        <w:rPr>
          <w:rFonts w:hint="eastAsia" w:eastAsia="宋体"/>
          <w:lang w:val="en-US" w:eastAsia="zh-CN"/>
        </w:rPr>
        <w:t>Case 1-2: NR PDCCH is transmitted assuming localized mapping and closed loop rank 1 transmission scheme with DMRS overhead reduction.</w:t>
      </w:r>
    </w:p>
    <w:p>
      <w:pPr>
        <w:rPr>
          <w:rFonts w:hint="eastAsia" w:eastAsia="宋体"/>
          <w:lang w:val="en-US" w:eastAsia="zh-CN"/>
        </w:rPr>
      </w:pPr>
      <w:r>
        <w:rPr>
          <w:rFonts w:hint="eastAsia" w:eastAsia="宋体"/>
          <w:lang w:val="en-US" w:eastAsia="zh-CN"/>
        </w:rPr>
        <w:t>Case 2-1: NR PDCCH is transmitted assuming localized mapping and precoder cycling transmission scheme without DMRS overhead reduction.</w:t>
      </w:r>
    </w:p>
    <w:p>
      <w:pPr>
        <w:rPr>
          <w:rFonts w:hint="eastAsia" w:eastAsia="宋体"/>
          <w:lang w:val="en-US" w:eastAsia="zh-CN"/>
        </w:rPr>
      </w:pPr>
      <w:r>
        <w:rPr>
          <w:rFonts w:hint="eastAsia" w:eastAsia="宋体"/>
          <w:lang w:val="en-US" w:eastAsia="zh-CN"/>
        </w:rPr>
        <w:t>Case 2-2: NR PDCCH is transmitted assuming localized mapping and precoder cycling transmission scheme with DMRS overhead reduction.</w:t>
      </w:r>
    </w:p>
    <w:p>
      <w:pPr>
        <w:rPr>
          <w:rFonts w:hint="eastAsia" w:eastAsia="宋体"/>
          <w:lang w:val="en-US" w:eastAsia="zh-CN"/>
        </w:rPr>
      </w:pPr>
      <w:r>
        <w:rPr>
          <w:rFonts w:hint="eastAsia" w:eastAsia="宋体"/>
          <w:lang w:val="en-US" w:eastAsia="zh-CN"/>
        </w:rPr>
        <w:t>When DMRS overhead reduction is not used, DMRS RE exists DMRS REs exist in every OFDM symbol</w:t>
      </w:r>
      <w:r>
        <w:rPr>
          <w:rFonts w:eastAsia="宋体"/>
          <w:lang w:val="en-US" w:eastAsia="zh-CN"/>
        </w:rPr>
        <w:t>, e.g.</w:t>
      </w:r>
      <w:r>
        <w:rPr>
          <w:rFonts w:hint="eastAsia" w:eastAsia="宋体"/>
          <w:lang w:val="en-US" w:eastAsia="zh-CN"/>
        </w:rPr>
        <w:t xml:space="preserve"> Figure 2(a)</w:t>
      </w:r>
      <w:r>
        <w:rPr>
          <w:rFonts w:eastAsia="宋体"/>
          <w:lang w:val="en-US" w:eastAsia="zh-CN"/>
        </w:rPr>
        <w:t>.</w:t>
      </w:r>
      <w:r>
        <w:rPr>
          <w:rFonts w:hint="eastAsia" w:eastAsia="宋体"/>
          <w:lang w:val="en-US" w:eastAsia="zh-CN"/>
        </w:rPr>
        <w:t xml:space="preserve"> </w:t>
      </w:r>
      <w:r>
        <w:rPr>
          <w:rFonts w:eastAsia="宋体"/>
          <w:lang w:val="en-US" w:eastAsia="zh-CN"/>
        </w:rPr>
        <w:t>O</w:t>
      </w:r>
      <w:r>
        <w:rPr>
          <w:rFonts w:hint="eastAsia" w:eastAsia="宋体"/>
          <w:lang w:val="en-US" w:eastAsia="zh-CN"/>
        </w:rPr>
        <w:t>therwise</w:t>
      </w:r>
      <w:r>
        <w:rPr>
          <w:rFonts w:eastAsia="宋体"/>
          <w:lang w:val="en-US" w:eastAsia="zh-CN"/>
        </w:rPr>
        <w:t>,</w:t>
      </w:r>
      <w:r>
        <w:rPr>
          <w:rFonts w:hint="eastAsia" w:eastAsia="宋体"/>
          <w:lang w:val="en-US" w:eastAsia="zh-CN"/>
        </w:rPr>
        <w:t xml:space="preserve"> DMRS REs are only in the first OFDM symbol</w:t>
      </w:r>
      <w:r>
        <w:rPr>
          <w:rFonts w:eastAsia="宋体"/>
          <w:lang w:val="en-US" w:eastAsia="zh-CN"/>
        </w:rPr>
        <w:t xml:space="preserve"> as </w:t>
      </w:r>
      <w:r>
        <w:rPr>
          <w:rFonts w:hint="eastAsia" w:eastAsia="宋体"/>
          <w:lang w:val="en-US" w:eastAsia="zh-CN"/>
        </w:rPr>
        <w:t xml:space="preserve">Figure 2(b). </w:t>
      </w:r>
    </w:p>
    <w:p>
      <w:pPr>
        <w:jc w:val="center"/>
        <w:rPr>
          <w:rFonts w:hint="eastAsia" w:eastAsia="宋体"/>
          <w:lang w:val="en-US" w:eastAsia="zh-CN"/>
        </w:rPr>
      </w:pPr>
      <w:r>
        <w:object>
          <v:shape id="_x0000_i1026" o:spt="75" type="#_x0000_t75" style="height:208.5pt;width:350.2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jc w:val="center"/>
        <w:rPr>
          <w:rFonts w:hint="eastAsia" w:eastAsia="宋体"/>
          <w:lang w:val="en-US" w:eastAsia="zh-CN"/>
        </w:rPr>
      </w:pPr>
      <w:r>
        <w:rPr>
          <w:rFonts w:hint="eastAsia" w:eastAsia="宋体"/>
          <w:lang w:val="en-US" w:eastAsia="zh-CN"/>
        </w:rPr>
        <w:t>Figure 2 W/o and w/ DMRS overhead reduction</w:t>
      </w:r>
    </w:p>
    <w:p>
      <w:pPr>
        <w:rPr>
          <w:rFonts w:hint="eastAsia" w:eastAsia="宋体"/>
          <w:lang w:val="en-US" w:eastAsia="zh-CN"/>
        </w:rPr>
      </w:pPr>
      <w:r>
        <w:rPr>
          <w:rFonts w:eastAsia="宋体"/>
          <w:lang w:val="en-US" w:eastAsia="zh-CN"/>
        </w:rPr>
        <w:t>B</w:t>
      </w:r>
      <w:r>
        <w:rPr>
          <w:rFonts w:hint="eastAsia" w:eastAsia="宋体"/>
          <w:lang w:val="en-US" w:eastAsia="zh-CN"/>
        </w:rPr>
        <w:t>undling size of 3 is applied</w:t>
      </w:r>
      <w:r>
        <w:rPr>
          <w:rFonts w:eastAsia="宋体"/>
          <w:lang w:val="en-US" w:eastAsia="zh-CN"/>
        </w:rPr>
        <w:t xml:space="preserve"> for p</w:t>
      </w:r>
      <w:r>
        <w:rPr>
          <w:rFonts w:hint="eastAsia" w:eastAsia="宋体"/>
          <w:lang w:val="en-US" w:eastAsia="zh-CN"/>
        </w:rPr>
        <w:t>recoder cycling transmission</w:t>
      </w:r>
      <w:r>
        <w:rPr>
          <w:rFonts w:eastAsia="宋体"/>
          <w:lang w:val="en-US" w:eastAsia="zh-CN"/>
        </w:rPr>
        <w:t>. This</w:t>
      </w:r>
      <w:r>
        <w:rPr>
          <w:rFonts w:hint="eastAsia" w:eastAsia="宋体"/>
          <w:lang w:val="en-US" w:eastAsia="zh-CN"/>
        </w:rPr>
        <w:t xml:space="preserve"> means 3 PRBs in frequency domain for all the PDCCH symbols using the same one precoder [5]. When closed loop rank 1 transmission scheme is used, all PRBs of the NR-PDCCH use the same precoder. </w:t>
      </w:r>
    </w:p>
    <w:p>
      <w:pPr>
        <w:rPr>
          <w:rFonts w:hint="eastAsia" w:eastAsia="宋体"/>
          <w:lang w:val="en-US" w:eastAsia="zh-CN"/>
        </w:rPr>
      </w:pPr>
      <w:r>
        <w:rPr>
          <w:rFonts w:hint="eastAsia" w:eastAsia="宋体"/>
          <w:lang w:val="en-US" w:eastAsia="zh-CN"/>
        </w:rPr>
        <w:t xml:space="preserve">Further detailed simulation parameters can be found in the appendix, and the simulation results are shown in the following where the label </w:t>
      </w:r>
      <w:r>
        <w:rPr>
          <w:rFonts w:eastAsia="宋体"/>
          <w:lang w:val="en-US" w:eastAsia="zh-CN"/>
        </w:rPr>
        <w:t>‘</w:t>
      </w:r>
      <w:r>
        <w:rPr>
          <w:rFonts w:hint="eastAsia" w:eastAsia="宋体"/>
          <w:lang w:val="en-US" w:eastAsia="zh-CN"/>
        </w:rPr>
        <w:t>wOR_ALi</w:t>
      </w:r>
      <w:r>
        <w:rPr>
          <w:rFonts w:eastAsia="宋体"/>
          <w:lang w:val="en-US" w:eastAsia="zh-CN"/>
        </w:rPr>
        <w:t>’</w:t>
      </w:r>
      <w:r>
        <w:rPr>
          <w:rFonts w:hint="eastAsia" w:eastAsia="宋体"/>
          <w:lang w:val="en-US" w:eastAsia="zh-CN"/>
        </w:rPr>
        <w:t xml:space="preserve"> means </w:t>
      </w:r>
      <w:r>
        <w:rPr>
          <w:rFonts w:eastAsia="宋体"/>
          <w:lang w:val="en-US" w:eastAsia="zh-CN"/>
        </w:rPr>
        <w:t>‘</w:t>
      </w:r>
      <w:r>
        <w:rPr>
          <w:rFonts w:hint="eastAsia" w:eastAsia="宋体"/>
          <w:lang w:val="en-US" w:eastAsia="zh-CN"/>
        </w:rPr>
        <w:t xml:space="preserve">with overhead reduction for AL </w:t>
      </w:r>
      <w:r>
        <w:rPr>
          <w:rFonts w:eastAsia="宋体"/>
          <w:lang w:val="en-US" w:eastAsia="zh-CN"/>
        </w:rPr>
        <w:t>i</w:t>
      </w:r>
      <w:r>
        <w:rPr>
          <w:rFonts w:hint="eastAsia" w:eastAsia="宋体"/>
          <w:lang w:val="en-US" w:eastAsia="zh-CN"/>
        </w:rPr>
        <w:t>(i=1/2/4/8)</w:t>
      </w:r>
      <w:r>
        <w:rPr>
          <w:rFonts w:eastAsia="宋体"/>
          <w:lang w:val="en-US" w:eastAsia="zh-CN"/>
        </w:rPr>
        <w:t>’</w:t>
      </w:r>
      <w:r>
        <w:rPr>
          <w:rFonts w:hint="eastAsia" w:eastAsia="宋体"/>
          <w:lang w:val="en-US" w:eastAsia="zh-CN"/>
        </w:rPr>
        <w:t xml:space="preserve"> and the label </w:t>
      </w:r>
      <w:r>
        <w:rPr>
          <w:rFonts w:eastAsia="宋体"/>
          <w:lang w:val="en-US" w:eastAsia="zh-CN"/>
        </w:rPr>
        <w:t>‘</w:t>
      </w:r>
      <w:r>
        <w:rPr>
          <w:rFonts w:hint="eastAsia" w:eastAsia="宋体"/>
          <w:lang w:val="en-US" w:eastAsia="zh-CN"/>
        </w:rPr>
        <w:t>w/o OR_ALi</w:t>
      </w:r>
      <w:r>
        <w:rPr>
          <w:rFonts w:eastAsia="宋体"/>
          <w:lang w:val="en-US" w:eastAsia="zh-CN"/>
        </w:rPr>
        <w:t>’</w:t>
      </w:r>
      <w:r>
        <w:rPr>
          <w:rFonts w:hint="eastAsia" w:eastAsia="宋体"/>
          <w:lang w:val="en-US" w:eastAsia="zh-CN"/>
        </w:rPr>
        <w:t xml:space="preserve"> means </w:t>
      </w:r>
      <w:r>
        <w:rPr>
          <w:rFonts w:eastAsia="宋体"/>
          <w:lang w:val="en-US" w:eastAsia="zh-CN"/>
        </w:rPr>
        <w:t>‘</w:t>
      </w:r>
      <w:r>
        <w:rPr>
          <w:rFonts w:hint="eastAsia" w:eastAsia="宋体"/>
          <w:lang w:val="en-US" w:eastAsia="zh-CN"/>
        </w:rPr>
        <w:t>without overhead reduction for AL i(i=1/2/4/8)</w:t>
      </w:r>
      <w:r>
        <w:rPr>
          <w:rFonts w:eastAsia="宋体"/>
          <w:lang w:val="en-US" w:eastAsia="zh-CN"/>
        </w:rPr>
        <w:t>’</w:t>
      </w:r>
      <w:r>
        <w:rPr>
          <w:rFonts w:hint="eastAsia" w:eastAsia="宋体"/>
          <w:lang w:val="en-US" w:eastAsia="zh-CN"/>
        </w:rPr>
        <w:t xml:space="preserve">. </w:t>
      </w:r>
    </w:p>
    <w:p>
      <w:pPr>
        <w:jc w:val="center"/>
        <w:rPr>
          <w:rFonts w:hint="eastAsia" w:eastAsia="宋体"/>
          <w:lang w:val="en-US" w:eastAsia="zh-CN"/>
        </w:rPr>
      </w:pPr>
      <w:r>
        <w:rPr>
          <w:rFonts w:eastAsia="宋体"/>
          <w:lang w:val="en-US" w:eastAsia="zh-CN"/>
        </w:rPr>
        <w:drawing>
          <wp:inline distT="0" distB="0" distL="0" distR="0">
            <wp:extent cx="5490210" cy="3139440"/>
            <wp:effectExtent l="12192" t="6096" r="6096" b="0"/>
            <wp:docPr id="3"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12"/>
        </w:numPr>
        <w:jc w:val="center"/>
        <w:rPr>
          <w:rFonts w:hint="eastAsia" w:eastAsia="宋体"/>
          <w:lang w:val="en-US" w:eastAsia="zh-CN"/>
        </w:rPr>
      </w:pPr>
      <w:r>
        <w:rPr>
          <w:rFonts w:hint="eastAsia" w:eastAsia="宋体"/>
          <w:lang w:val="en-US" w:eastAsia="zh-CN"/>
        </w:rPr>
        <w:t>Delay spread = 30ns</w:t>
      </w:r>
    </w:p>
    <w:p>
      <w:pPr>
        <w:jc w:val="center"/>
        <w:rPr>
          <w:rFonts w:hint="eastAsia" w:eastAsia="宋体"/>
          <w:lang w:val="en-US" w:eastAsia="zh-CN"/>
        </w:rPr>
      </w:pPr>
      <w:r>
        <w:rPr>
          <w:rFonts w:eastAsia="宋体"/>
          <w:lang w:val="en-US" w:eastAsia="zh-CN"/>
        </w:rPr>
        <w:drawing>
          <wp:inline distT="0" distB="0" distL="0" distR="0">
            <wp:extent cx="5490210" cy="3139440"/>
            <wp:effectExtent l="12192" t="6096" r="6096" b="0"/>
            <wp:docPr id="4"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12"/>
        </w:numPr>
        <w:jc w:val="center"/>
        <w:rPr>
          <w:rFonts w:hint="eastAsia" w:eastAsia="宋体"/>
          <w:lang w:val="en-US" w:eastAsia="zh-CN"/>
        </w:rPr>
      </w:pPr>
      <w:r>
        <w:rPr>
          <w:rFonts w:hint="eastAsia" w:eastAsia="宋体"/>
          <w:lang w:val="en-US" w:eastAsia="zh-CN"/>
        </w:rPr>
        <w:t>Delay spread = 300ns</w:t>
      </w:r>
    </w:p>
    <w:p>
      <w:pPr>
        <w:jc w:val="center"/>
        <w:rPr>
          <w:rFonts w:hint="eastAsia" w:eastAsia="宋体"/>
          <w:lang w:val="en-US" w:eastAsia="zh-CN"/>
        </w:rPr>
      </w:pPr>
      <w:r>
        <w:rPr>
          <w:rFonts w:eastAsia="宋体"/>
          <w:lang w:val="en-US" w:eastAsia="zh-CN"/>
        </w:rPr>
        <w:drawing>
          <wp:inline distT="0" distB="0" distL="0" distR="0">
            <wp:extent cx="5490210" cy="3139440"/>
            <wp:effectExtent l="12192" t="6096" r="6096" b="0"/>
            <wp:docPr id="5"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numPr>
          <w:ilvl w:val="0"/>
          <w:numId w:val="12"/>
        </w:numPr>
        <w:jc w:val="center"/>
        <w:rPr>
          <w:rFonts w:hint="eastAsia" w:eastAsia="宋体"/>
          <w:lang w:val="en-US" w:eastAsia="zh-CN"/>
        </w:rPr>
      </w:pPr>
      <w:r>
        <w:rPr>
          <w:rFonts w:hint="eastAsia" w:eastAsia="宋体"/>
          <w:lang w:val="en-US" w:eastAsia="zh-CN"/>
        </w:rPr>
        <w:t xml:space="preserve">Delay spread = </w:t>
      </w:r>
      <w:r>
        <w:rPr>
          <w:rFonts w:hint="default" w:eastAsia="宋体"/>
          <w:lang w:val="en-US" w:eastAsia="zh-CN"/>
        </w:rPr>
        <w:t>1</w:t>
      </w:r>
      <w:r>
        <w:rPr>
          <w:rFonts w:hint="eastAsia" w:eastAsia="宋体"/>
          <w:lang w:val="en-US" w:eastAsia="zh-CN"/>
        </w:rPr>
        <w:t>000ns</w:t>
      </w:r>
    </w:p>
    <w:p>
      <w:pPr>
        <w:jc w:val="center"/>
        <w:rPr>
          <w:rFonts w:hint="eastAsia" w:eastAsia="宋体"/>
          <w:lang w:val="en-US" w:eastAsia="zh-CN"/>
        </w:rPr>
      </w:pPr>
      <w:r>
        <w:rPr>
          <w:rFonts w:hint="eastAsia" w:eastAsia="宋体"/>
          <w:lang w:val="en-US" w:eastAsia="zh-CN"/>
        </w:rPr>
        <w:t>Figure 3 Close loop rank 1 transmission w/ and w/o DMRS overhead reduction</w:t>
      </w:r>
    </w:p>
    <w:p>
      <w:pPr>
        <w:jc w:val="center"/>
        <w:rPr>
          <w:rFonts w:hint="eastAsia" w:eastAsia="宋体"/>
          <w:lang w:val="en-US" w:eastAsia="zh-CN"/>
        </w:rPr>
      </w:pPr>
      <w:r>
        <w:rPr>
          <w:rFonts w:eastAsia="宋体"/>
          <w:lang w:val="en-US" w:eastAsia="zh-CN"/>
        </w:rPr>
        <w:drawing>
          <wp:inline distT="0" distB="0" distL="0" distR="0">
            <wp:extent cx="5490210" cy="2992120"/>
            <wp:effectExtent l="12192" t="6096" r="6096" b="381"/>
            <wp:docPr id="6"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ilvl w:val="0"/>
          <w:numId w:val="13"/>
        </w:numPr>
        <w:jc w:val="center"/>
        <w:rPr>
          <w:rFonts w:hint="eastAsia" w:eastAsia="宋体"/>
          <w:lang w:val="en-US" w:eastAsia="zh-CN"/>
        </w:rPr>
      </w:pPr>
      <w:r>
        <w:rPr>
          <w:rFonts w:hint="eastAsia" w:eastAsia="宋体"/>
          <w:lang w:val="en-US" w:eastAsia="zh-CN"/>
        </w:rPr>
        <w:t>Delay spread = 30ns</w:t>
      </w:r>
    </w:p>
    <w:p>
      <w:pPr>
        <w:jc w:val="center"/>
        <w:rPr>
          <w:rFonts w:hint="eastAsia" w:eastAsia="宋体"/>
          <w:lang w:val="en-US" w:eastAsia="zh-CN"/>
        </w:rPr>
      </w:pPr>
      <w:r>
        <w:rPr>
          <w:rFonts w:eastAsia="宋体"/>
          <w:lang w:val="en-US" w:eastAsia="zh-CN"/>
        </w:rPr>
        <w:drawing>
          <wp:inline distT="0" distB="0" distL="0" distR="0">
            <wp:extent cx="5490210" cy="2992120"/>
            <wp:effectExtent l="12192" t="6096" r="6096" b="381"/>
            <wp:docPr id="7"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numPr>
          <w:ilvl w:val="0"/>
          <w:numId w:val="13"/>
        </w:numPr>
        <w:jc w:val="center"/>
        <w:rPr>
          <w:rFonts w:hint="eastAsia" w:eastAsia="宋体"/>
          <w:lang w:val="en-US" w:eastAsia="zh-CN"/>
        </w:rPr>
      </w:pPr>
      <w:r>
        <w:rPr>
          <w:rFonts w:hint="eastAsia" w:eastAsia="宋体"/>
          <w:lang w:val="en-US" w:eastAsia="zh-CN"/>
        </w:rPr>
        <w:t>Delay spread = 300ns</w:t>
      </w:r>
    </w:p>
    <w:p>
      <w:pPr>
        <w:jc w:val="center"/>
        <w:rPr>
          <w:rFonts w:hint="eastAsia" w:eastAsia="宋体"/>
          <w:lang w:val="en-US" w:eastAsia="zh-CN"/>
        </w:rPr>
      </w:pPr>
      <w:r>
        <w:rPr>
          <w:rFonts w:eastAsia="宋体"/>
          <w:lang w:val="en-US" w:eastAsia="zh-CN"/>
        </w:rPr>
        <w:drawing>
          <wp:inline distT="0" distB="0" distL="0" distR="0">
            <wp:extent cx="5490210" cy="2992120"/>
            <wp:effectExtent l="12192" t="6096" r="6096" b="381"/>
            <wp:docPr id="8"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numPr>
          <w:ilvl w:val="0"/>
          <w:numId w:val="13"/>
        </w:numPr>
        <w:jc w:val="center"/>
        <w:rPr>
          <w:rFonts w:hint="eastAsia" w:eastAsia="宋体"/>
          <w:lang w:val="en-US" w:eastAsia="zh-CN"/>
        </w:rPr>
      </w:pPr>
      <w:r>
        <w:rPr>
          <w:rFonts w:hint="eastAsia" w:eastAsia="宋体"/>
          <w:lang w:val="en-US" w:eastAsia="zh-CN"/>
        </w:rPr>
        <w:t xml:space="preserve">Delay spread = </w:t>
      </w:r>
      <w:r>
        <w:rPr>
          <w:rFonts w:hint="default" w:eastAsia="宋体"/>
          <w:lang w:val="en-US" w:eastAsia="zh-CN"/>
        </w:rPr>
        <w:t>1</w:t>
      </w:r>
      <w:r>
        <w:rPr>
          <w:rFonts w:hint="eastAsia" w:eastAsia="宋体"/>
          <w:lang w:val="en-US" w:eastAsia="zh-CN"/>
        </w:rPr>
        <w:t>000ns</w:t>
      </w:r>
    </w:p>
    <w:p>
      <w:pPr>
        <w:jc w:val="center"/>
        <w:rPr>
          <w:rFonts w:hint="eastAsia" w:eastAsia="宋体"/>
          <w:lang w:val="en-US" w:eastAsia="zh-CN"/>
        </w:rPr>
      </w:pPr>
      <w:r>
        <w:rPr>
          <w:rFonts w:hint="eastAsia" w:eastAsia="宋体"/>
          <w:lang w:val="en-US" w:eastAsia="zh-CN"/>
        </w:rPr>
        <w:t>Figure 4 Precoder cycling transmission w/ and w/o DMRS overhead reduction</w:t>
      </w:r>
    </w:p>
    <w:p>
      <w:pPr>
        <w:rPr>
          <w:rFonts w:hint="eastAsia" w:eastAsia="宋体"/>
          <w:lang w:val="en-US" w:eastAsia="zh-CN"/>
        </w:rPr>
      </w:pPr>
      <w:r>
        <w:rPr>
          <w:rFonts w:hint="eastAsia" w:eastAsia="宋体"/>
          <w:lang w:val="en-US" w:eastAsia="zh-CN"/>
        </w:rPr>
        <w:t xml:space="preserve">From Figure 3 and Figure 4 it can be seen that the performance of NR PDCCH with DMRS overhead reduction outperforms that </w:t>
      </w:r>
      <w:r>
        <w:rPr>
          <w:rFonts w:eastAsia="宋体"/>
          <w:lang w:val="en-US" w:eastAsia="zh-CN"/>
        </w:rPr>
        <w:t>with</w:t>
      </w:r>
      <w:r>
        <w:rPr>
          <w:rFonts w:hint="eastAsia" w:eastAsia="宋体"/>
          <w:lang w:val="en-US" w:eastAsia="zh-CN"/>
        </w:rPr>
        <w:t>out DMRS overhead reduction for AL1~4</w:t>
      </w:r>
      <w:r>
        <w:rPr>
          <w:rFonts w:eastAsia="宋体"/>
          <w:lang w:val="en-US" w:eastAsia="zh-CN"/>
        </w:rPr>
        <w:t>.</w:t>
      </w:r>
      <w:r>
        <w:rPr>
          <w:rFonts w:hint="eastAsia" w:eastAsia="宋体"/>
          <w:lang w:val="en-US" w:eastAsia="zh-CN"/>
        </w:rPr>
        <w:t xml:space="preserve"> </w:t>
      </w:r>
      <w:r>
        <w:rPr>
          <w:rFonts w:eastAsia="宋体"/>
          <w:lang w:val="en-US" w:eastAsia="zh-CN"/>
        </w:rPr>
        <w:t>L</w:t>
      </w:r>
      <w:r>
        <w:rPr>
          <w:rFonts w:hint="eastAsia" w:eastAsia="宋体"/>
          <w:lang w:val="en-US" w:eastAsia="zh-CN"/>
        </w:rPr>
        <w:t>ower AL</w:t>
      </w:r>
      <w:r>
        <w:rPr>
          <w:rFonts w:eastAsia="宋体"/>
          <w:lang w:val="en-US" w:eastAsia="zh-CN"/>
        </w:rPr>
        <w:t>s</w:t>
      </w:r>
      <w:r>
        <w:rPr>
          <w:rFonts w:hint="eastAsia" w:eastAsia="宋体"/>
          <w:lang w:val="en-US" w:eastAsia="zh-CN"/>
        </w:rPr>
        <w:t xml:space="preserve"> </w:t>
      </w:r>
      <w:r>
        <w:rPr>
          <w:rFonts w:eastAsia="宋体"/>
          <w:lang w:val="en-US" w:eastAsia="zh-CN"/>
        </w:rPr>
        <w:t>have higher</w:t>
      </w:r>
      <w:r>
        <w:rPr>
          <w:rFonts w:hint="eastAsia" w:eastAsia="宋体"/>
          <w:lang w:val="en-US" w:eastAsia="zh-CN"/>
        </w:rPr>
        <w:t xml:space="preserve"> performance gain than that without DMRS overhead reduction. </w:t>
      </w:r>
      <w:r>
        <w:rPr>
          <w:rFonts w:eastAsia="宋体"/>
          <w:lang w:val="en-US" w:eastAsia="zh-CN"/>
        </w:rPr>
        <w:t>It</w:t>
      </w:r>
      <w:r>
        <w:rPr>
          <w:rFonts w:hint="eastAsia" w:eastAsia="宋体"/>
          <w:lang w:val="en-US" w:eastAsia="zh-CN"/>
        </w:rPr>
        <w:t xml:space="preserve"> </w:t>
      </w:r>
      <w:r>
        <w:rPr>
          <w:rFonts w:eastAsia="宋体"/>
          <w:lang w:val="en-US" w:eastAsia="zh-CN"/>
        </w:rPr>
        <w:t>is due to that</w:t>
      </w:r>
      <w:r>
        <w:rPr>
          <w:rFonts w:hint="eastAsia" w:eastAsia="宋体"/>
          <w:lang w:val="en-US" w:eastAsia="zh-CN"/>
        </w:rPr>
        <w:t xml:space="preserve"> DMRS overhead reduction makes coding rate for PDCCH transmission becomes higher</w:t>
      </w:r>
      <w:r>
        <w:rPr>
          <w:rFonts w:eastAsia="宋体"/>
          <w:lang w:val="en-US" w:eastAsia="zh-CN"/>
        </w:rPr>
        <w:t>.</w:t>
      </w:r>
      <w:r>
        <w:rPr>
          <w:rFonts w:hint="eastAsia" w:eastAsia="宋体"/>
          <w:lang w:val="en-US" w:eastAsia="zh-CN"/>
        </w:rPr>
        <w:t xml:space="preserve"> </w:t>
      </w:r>
      <w:r>
        <w:rPr>
          <w:rFonts w:eastAsia="宋体"/>
          <w:lang w:val="en-US" w:eastAsia="zh-CN"/>
        </w:rPr>
        <w:t xml:space="preserve">Overhead issue </w:t>
      </w:r>
      <w:r>
        <w:rPr>
          <w:rFonts w:hint="eastAsia" w:eastAsia="宋体"/>
          <w:lang w:val="en-US" w:eastAsia="zh-CN"/>
        </w:rPr>
        <w:t xml:space="preserve">impacts </w:t>
      </w:r>
      <w:r>
        <w:rPr>
          <w:rFonts w:eastAsia="宋体"/>
          <w:lang w:val="en-US" w:eastAsia="zh-CN"/>
        </w:rPr>
        <w:t xml:space="preserve">more </w:t>
      </w:r>
      <w:r>
        <w:rPr>
          <w:rFonts w:hint="eastAsia" w:eastAsia="宋体"/>
          <w:lang w:val="en-US" w:eastAsia="zh-CN"/>
        </w:rPr>
        <w:t xml:space="preserve">for the PDCCH with lower AL since its coding rate is </w:t>
      </w:r>
      <w:r>
        <w:rPr>
          <w:rFonts w:eastAsia="宋体"/>
          <w:lang w:val="en-US" w:eastAsia="zh-CN"/>
        </w:rPr>
        <w:t xml:space="preserve">already </w:t>
      </w:r>
      <w:r>
        <w:rPr>
          <w:rFonts w:hint="eastAsia" w:eastAsia="宋体"/>
          <w:lang w:val="en-US" w:eastAsia="zh-CN"/>
        </w:rPr>
        <w:t>high and more sensitive for the variation of the number of REs used for PDCCH.</w:t>
      </w:r>
    </w:p>
    <w:p>
      <w:pPr>
        <w:rPr>
          <w:rFonts w:hint="eastAsia" w:eastAsia="宋体"/>
          <w:b/>
          <w:i/>
          <w:lang w:val="en-US" w:eastAsia="zh-CN"/>
        </w:rPr>
      </w:pPr>
      <w:r>
        <w:rPr>
          <w:rFonts w:hint="eastAsia" w:eastAsia="宋体"/>
          <w:b/>
          <w:i/>
          <w:lang w:val="en-US" w:eastAsia="zh-CN"/>
        </w:rPr>
        <w:t>Observation 1: The performance of NR PDCCH with DMRS overhead reduction outperforms that without DMRS overhead reduction</w:t>
      </w:r>
      <w:r>
        <w:rPr>
          <w:rFonts w:eastAsia="宋体"/>
          <w:b/>
          <w:i/>
          <w:lang w:val="en-US" w:eastAsia="zh-CN"/>
        </w:rPr>
        <w:t>.</w:t>
      </w:r>
      <w:r>
        <w:rPr>
          <w:rFonts w:hint="eastAsia" w:eastAsia="宋体"/>
          <w:b/>
          <w:i/>
          <w:lang w:val="en-US" w:eastAsia="zh-CN"/>
        </w:rPr>
        <w:t xml:space="preserve"> </w:t>
      </w:r>
      <w:r>
        <w:rPr>
          <w:rFonts w:eastAsia="宋体"/>
          <w:b/>
          <w:i/>
          <w:lang w:val="en-US" w:eastAsia="zh-CN"/>
        </w:rPr>
        <w:t>L</w:t>
      </w:r>
      <w:r>
        <w:rPr>
          <w:rFonts w:hint="eastAsia" w:eastAsia="宋体"/>
          <w:b/>
          <w:i/>
          <w:lang w:val="en-US" w:eastAsia="zh-CN"/>
        </w:rPr>
        <w:t>ower AL</w:t>
      </w:r>
      <w:r>
        <w:rPr>
          <w:rFonts w:eastAsia="宋体"/>
          <w:b/>
          <w:i/>
          <w:lang w:val="en-US" w:eastAsia="zh-CN"/>
        </w:rPr>
        <w:t>s</w:t>
      </w:r>
      <w:r>
        <w:rPr>
          <w:rFonts w:hint="eastAsia" w:eastAsia="宋体"/>
          <w:b/>
          <w:i/>
          <w:lang w:val="en-US" w:eastAsia="zh-CN"/>
        </w:rPr>
        <w:t xml:space="preserve"> </w:t>
      </w:r>
      <w:r>
        <w:rPr>
          <w:rFonts w:eastAsia="宋体"/>
          <w:b/>
          <w:i/>
          <w:lang w:val="en-US" w:eastAsia="zh-CN"/>
        </w:rPr>
        <w:t>will result in more</w:t>
      </w:r>
      <w:r>
        <w:rPr>
          <w:rFonts w:hint="eastAsia" w:eastAsia="宋体"/>
          <w:b/>
          <w:i/>
          <w:lang w:val="en-US" w:eastAsia="zh-CN"/>
        </w:rPr>
        <w:t xml:space="preserve"> performance gain.</w:t>
      </w:r>
    </w:p>
    <w:p>
      <w:pPr>
        <w:rPr>
          <w:rFonts w:hint="eastAsia" w:eastAsia="宋体"/>
          <w:b/>
          <w:i/>
          <w:lang w:val="en-US" w:eastAsia="zh-CN"/>
        </w:rPr>
      </w:pPr>
      <w:r>
        <w:rPr>
          <w:rFonts w:hint="eastAsia" w:eastAsia="宋体"/>
          <w:b/>
          <w:i/>
          <w:lang w:val="en-US" w:eastAsia="zh-CN"/>
        </w:rPr>
        <w:t>Proposal 2: DMRS overhead reduction should be supported for NR-PDCCH.</w:t>
      </w:r>
    </w:p>
    <w:p>
      <w:pPr>
        <w:pStyle w:val="2"/>
        <w:numPr>
          <w:ilvl w:val="0"/>
          <w:numId w:val="6"/>
        </w:numPr>
        <w:overflowPunct/>
        <w:autoSpaceDE/>
        <w:autoSpaceDN/>
        <w:adjustRightInd/>
        <w:spacing w:before="120" w:after="0"/>
        <w:textAlignment w:val="auto"/>
        <w:rPr>
          <w:rFonts w:eastAsia="宋体"/>
          <w:lang w:eastAsia="zh-CN"/>
        </w:rPr>
      </w:pPr>
      <w:r>
        <w:rPr>
          <w:rFonts w:eastAsia="宋体"/>
        </w:rPr>
        <w:t>Conclusion</w:t>
      </w:r>
      <w:bookmarkStart w:id="6" w:name="_GoBack"/>
      <w:bookmarkEnd w:id="6"/>
    </w:p>
    <w:p>
      <w:pPr>
        <w:rPr>
          <w:rFonts w:hint="eastAsia" w:eastAsia="宋体"/>
          <w:kern w:val="2"/>
          <w:lang w:val="en-US" w:eastAsia="zh-CN"/>
        </w:rPr>
      </w:pPr>
      <w:r>
        <w:rPr>
          <w:rFonts w:eastAsia="宋体"/>
          <w:kern w:val="2"/>
          <w:lang w:val="en-US" w:eastAsia="zh-CN"/>
        </w:rPr>
        <w:t>Based on the analysis given above, we have the following proposals:</w:t>
      </w:r>
    </w:p>
    <w:p>
      <w:pPr>
        <w:rPr>
          <w:rFonts w:hint="eastAsia" w:eastAsia="宋体"/>
          <w:b/>
          <w:i/>
          <w:lang w:val="en-US" w:eastAsia="zh-CN"/>
        </w:rPr>
      </w:pPr>
      <w:r>
        <w:rPr>
          <w:rFonts w:hint="eastAsia" w:eastAsia="宋体"/>
          <w:b/>
          <w:i/>
          <w:lang w:val="en-US" w:eastAsia="zh-CN"/>
        </w:rPr>
        <w:t>Proposal 1: NR PDCCH DMRS sequence</w:t>
      </w:r>
      <w:r>
        <w:rPr>
          <w:rFonts w:eastAsia="宋体"/>
          <w:b/>
          <w:i/>
          <w:lang w:val="en-US" w:eastAsia="zh-CN"/>
        </w:rPr>
        <w:t xml:space="preserve"> is generated</w:t>
      </w:r>
      <w:r>
        <w:rPr>
          <w:rFonts w:hint="eastAsia" w:eastAsia="宋体"/>
          <w:b/>
          <w:i/>
          <w:lang w:val="en-US" w:eastAsia="zh-CN"/>
        </w:rPr>
        <w:t xml:space="preserve"> according to the system bandwidth and the maximum CORESET duration. </w:t>
      </w:r>
    </w:p>
    <w:p>
      <w:pPr>
        <w:numPr>
          <w:ilvl w:val="2"/>
          <w:numId w:val="8"/>
        </w:numPr>
        <w:rPr>
          <w:rFonts w:hint="eastAsia" w:eastAsia="宋体"/>
          <w:b/>
          <w:i/>
          <w:lang w:val="en-US" w:eastAsia="zh-CN"/>
        </w:rPr>
      </w:pPr>
      <w:r>
        <w:rPr>
          <w:rFonts w:hint="eastAsia" w:eastAsia="宋体"/>
          <w:b/>
          <w:i/>
          <w:lang w:val="en-US" w:eastAsia="zh-CN"/>
        </w:rPr>
        <w:t>PN sequence can be the NR PDCCH DMRS sequence.</w:t>
      </w:r>
    </w:p>
    <w:p>
      <w:pPr>
        <w:numPr>
          <w:ilvl w:val="2"/>
          <w:numId w:val="8"/>
        </w:numPr>
        <w:rPr>
          <w:rFonts w:eastAsia="宋体"/>
          <w:b/>
          <w:i/>
          <w:lang w:val="en-US" w:eastAsia="zh-CN"/>
        </w:rPr>
      </w:pPr>
      <w:r>
        <w:rPr>
          <w:rFonts w:hint="eastAsia" w:eastAsia="宋体"/>
          <w:b/>
          <w:i/>
          <w:lang w:val="en-US" w:eastAsia="zh-CN"/>
        </w:rPr>
        <w:t xml:space="preserve">The scrambling parameter of PN </w:t>
      </w:r>
      <w:r>
        <w:rPr>
          <w:rFonts w:eastAsia="宋体"/>
          <w:b/>
          <w:i/>
          <w:lang w:val="en-US" w:eastAsia="zh-CN"/>
        </w:rPr>
        <w:t>sequence</w:t>
      </w:r>
      <w:r>
        <w:rPr>
          <w:rFonts w:hint="eastAsia" w:eastAsia="宋体"/>
          <w:b/>
          <w:i/>
          <w:lang w:val="en-US" w:eastAsia="zh-CN"/>
        </w:rPr>
        <w:t xml:space="preserve"> for NR PDCCH DMRS should be configured </w:t>
      </w:r>
      <w:r>
        <w:rPr>
          <w:rFonts w:eastAsia="宋体"/>
          <w:b/>
          <w:i/>
          <w:lang w:val="en-US" w:eastAsia="zh-CN"/>
        </w:rPr>
        <w:t>for MU-MIMO user pairing</w:t>
      </w:r>
      <w:r>
        <w:rPr>
          <w:rFonts w:hint="eastAsia" w:eastAsia="宋体"/>
          <w:b/>
          <w:i/>
          <w:lang w:val="en-US" w:eastAsia="zh-CN"/>
        </w:rPr>
        <w:t>.</w:t>
      </w:r>
    </w:p>
    <w:p>
      <w:pPr>
        <w:rPr>
          <w:rFonts w:hint="eastAsia" w:eastAsia="宋体"/>
          <w:b/>
          <w:i/>
          <w:lang w:val="en-US" w:eastAsia="zh-CN"/>
        </w:rPr>
      </w:pPr>
      <w:r>
        <w:rPr>
          <w:rFonts w:hint="eastAsia" w:eastAsia="宋体"/>
          <w:b/>
          <w:i/>
          <w:lang w:val="en-US" w:eastAsia="zh-CN"/>
        </w:rPr>
        <w:t>Observation 1: The performance of NR PDCCH with DMRS overhead reduction outperforms that without DMRS overhead reduction</w:t>
      </w:r>
      <w:r>
        <w:rPr>
          <w:rFonts w:eastAsia="宋体"/>
          <w:b/>
          <w:i/>
          <w:lang w:val="en-US" w:eastAsia="zh-CN"/>
        </w:rPr>
        <w:t>.</w:t>
      </w:r>
      <w:r>
        <w:rPr>
          <w:rFonts w:hint="eastAsia" w:eastAsia="宋体"/>
          <w:b/>
          <w:i/>
          <w:lang w:val="en-US" w:eastAsia="zh-CN"/>
        </w:rPr>
        <w:t xml:space="preserve"> </w:t>
      </w:r>
      <w:r>
        <w:rPr>
          <w:rFonts w:eastAsia="宋体"/>
          <w:b/>
          <w:i/>
          <w:lang w:val="en-US" w:eastAsia="zh-CN"/>
        </w:rPr>
        <w:t>L</w:t>
      </w:r>
      <w:r>
        <w:rPr>
          <w:rFonts w:hint="eastAsia" w:eastAsia="宋体"/>
          <w:b/>
          <w:i/>
          <w:lang w:val="en-US" w:eastAsia="zh-CN"/>
        </w:rPr>
        <w:t>ower AL</w:t>
      </w:r>
      <w:r>
        <w:rPr>
          <w:rFonts w:eastAsia="宋体"/>
          <w:b/>
          <w:i/>
          <w:lang w:val="en-US" w:eastAsia="zh-CN"/>
        </w:rPr>
        <w:t>s</w:t>
      </w:r>
      <w:r>
        <w:rPr>
          <w:rFonts w:hint="eastAsia" w:eastAsia="宋体"/>
          <w:b/>
          <w:i/>
          <w:lang w:val="en-US" w:eastAsia="zh-CN"/>
        </w:rPr>
        <w:t xml:space="preserve"> </w:t>
      </w:r>
      <w:r>
        <w:rPr>
          <w:rFonts w:eastAsia="宋体"/>
          <w:b/>
          <w:i/>
          <w:lang w:val="en-US" w:eastAsia="zh-CN"/>
        </w:rPr>
        <w:t>will result in more</w:t>
      </w:r>
      <w:r>
        <w:rPr>
          <w:rFonts w:hint="eastAsia" w:eastAsia="宋体"/>
          <w:b/>
          <w:i/>
          <w:lang w:val="en-US" w:eastAsia="zh-CN"/>
        </w:rPr>
        <w:t xml:space="preserve"> performance gain.</w:t>
      </w:r>
    </w:p>
    <w:p>
      <w:pPr>
        <w:rPr>
          <w:rFonts w:hint="eastAsia" w:eastAsia="宋体"/>
          <w:b/>
          <w:i/>
          <w:lang w:val="en-US" w:eastAsia="zh-CN"/>
        </w:rPr>
      </w:pPr>
      <w:r>
        <w:rPr>
          <w:rFonts w:hint="eastAsia" w:eastAsia="宋体"/>
          <w:b/>
          <w:i/>
          <w:lang w:val="en-US" w:eastAsia="zh-CN"/>
        </w:rPr>
        <w:t>Proposal 2: DMRS overhead reduction should be supported for NR-PDCCH.</w:t>
      </w:r>
    </w:p>
    <w:p>
      <w:pPr>
        <w:pStyle w:val="2"/>
        <w:numPr>
          <w:ilvl w:val="0"/>
          <w:numId w:val="6"/>
        </w:numPr>
        <w:overflowPunct/>
        <w:autoSpaceDE/>
        <w:autoSpaceDN/>
        <w:adjustRightInd/>
        <w:spacing w:before="120" w:after="0"/>
        <w:textAlignment w:val="auto"/>
        <w:rPr>
          <w:rFonts w:eastAsia="宋体"/>
        </w:rPr>
      </w:pPr>
      <w:r>
        <w:rPr>
          <w:rFonts w:eastAsia="宋体"/>
        </w:rPr>
        <w:t>Reference</w:t>
      </w:r>
    </w:p>
    <w:p>
      <w:pPr>
        <w:rPr>
          <w:rFonts w:hint="eastAsia" w:eastAsia="宋体"/>
          <w:lang w:eastAsia="zh-CN"/>
        </w:rPr>
      </w:pPr>
      <w:r>
        <w:t>[1] 3GPP RAN1 88bis meeting Chairman's Notes</w:t>
      </w:r>
    </w:p>
    <w:p>
      <w:pPr>
        <w:rPr>
          <w:rFonts w:hint="eastAsia" w:eastAsia="宋体"/>
          <w:lang w:eastAsia="zh-CN"/>
        </w:rPr>
      </w:pPr>
      <w:r>
        <w:rPr>
          <w:rFonts w:hint="eastAsia" w:eastAsia="宋体"/>
          <w:lang w:eastAsia="zh-CN"/>
        </w:rPr>
        <w:t>[2] 3GPP RAN1 87 meeting Chairman</w:t>
      </w:r>
      <w:r>
        <w:rPr>
          <w:rFonts w:eastAsia="宋体"/>
          <w:lang w:eastAsia="zh-CN"/>
        </w:rPr>
        <w:t>’</w:t>
      </w:r>
      <w:r>
        <w:rPr>
          <w:rFonts w:hint="eastAsia" w:eastAsia="宋体"/>
          <w:lang w:eastAsia="zh-CN"/>
        </w:rPr>
        <w:t>s Notes</w:t>
      </w:r>
    </w:p>
    <w:p>
      <w:pPr>
        <w:rPr>
          <w:rFonts w:hint="eastAsia" w:eastAsia="宋体"/>
          <w:lang w:eastAsia="zh-CN"/>
        </w:rPr>
      </w:pPr>
      <w:r>
        <w:rPr>
          <w:rFonts w:hint="eastAsia" w:eastAsia="宋体"/>
          <w:lang w:eastAsia="zh-CN"/>
        </w:rPr>
        <w:t>[3] 3GPP RAN1 85 meeting Chairman</w:t>
      </w:r>
      <w:r>
        <w:rPr>
          <w:rFonts w:eastAsia="宋体"/>
          <w:lang w:eastAsia="zh-CN"/>
        </w:rPr>
        <w:t>’</w:t>
      </w:r>
      <w:r>
        <w:rPr>
          <w:rFonts w:hint="eastAsia" w:eastAsia="宋体"/>
          <w:lang w:eastAsia="zh-CN"/>
        </w:rPr>
        <w:t>s Notes</w:t>
      </w:r>
    </w:p>
    <w:p>
      <w:pPr>
        <w:rPr>
          <w:rFonts w:hint="eastAsia" w:eastAsia="宋体"/>
          <w:lang w:eastAsia="zh-CN"/>
        </w:rPr>
      </w:pPr>
      <w:r>
        <w:rPr>
          <w:rFonts w:hint="eastAsia" w:eastAsia="宋体"/>
          <w:lang w:eastAsia="zh-CN"/>
        </w:rPr>
        <w:t xml:space="preserve">[4] </w:t>
      </w:r>
      <w:r>
        <w:rPr>
          <w:rFonts w:eastAsia="宋体"/>
          <w:lang w:eastAsia="zh-CN"/>
        </w:rPr>
        <w:t>R1-1707158</w:t>
      </w:r>
      <w:r>
        <w:rPr>
          <w:rFonts w:hint="eastAsia" w:eastAsia="宋体"/>
          <w:lang w:eastAsia="zh-CN"/>
        </w:rPr>
        <w:t xml:space="preserve">, </w:t>
      </w:r>
      <w:r>
        <w:rPr>
          <w:rFonts w:eastAsia="宋体"/>
          <w:lang w:eastAsia="zh-CN"/>
        </w:rPr>
        <w:t>Resource mapping and Interleaving of PDCCH</w:t>
      </w:r>
      <w:r>
        <w:rPr>
          <w:rFonts w:hint="eastAsia" w:eastAsia="宋体"/>
          <w:lang w:eastAsia="zh-CN"/>
        </w:rPr>
        <w:t>, ZTE</w:t>
      </w:r>
    </w:p>
    <w:p>
      <w:pPr>
        <w:rPr>
          <w:rFonts w:hint="eastAsia" w:eastAsia="宋体"/>
          <w:lang w:eastAsia="zh-CN"/>
        </w:rPr>
      </w:pPr>
      <w:r>
        <w:rPr>
          <w:rFonts w:hint="eastAsia" w:eastAsia="宋体"/>
          <w:lang w:eastAsia="zh-CN"/>
        </w:rPr>
        <w:t xml:space="preserve">[5] </w:t>
      </w:r>
      <w:r>
        <w:rPr>
          <w:rFonts w:eastAsia="宋体"/>
          <w:lang w:eastAsia="zh-CN"/>
        </w:rPr>
        <w:t>R1-1707157</w:t>
      </w:r>
      <w:r>
        <w:rPr>
          <w:rFonts w:hint="eastAsia" w:eastAsia="宋体"/>
          <w:lang w:eastAsia="zh-CN"/>
        </w:rPr>
        <w:t>, Analysis and simulation of REG bundling, ZTE</w:t>
      </w:r>
    </w:p>
    <w:p>
      <w:pPr>
        <w:pStyle w:val="2"/>
        <w:numPr>
          <w:ilvl w:val="0"/>
          <w:numId w:val="6"/>
        </w:numPr>
        <w:overflowPunct/>
        <w:autoSpaceDE/>
        <w:autoSpaceDN/>
        <w:adjustRightInd/>
        <w:spacing w:before="120" w:after="0"/>
        <w:textAlignment w:val="auto"/>
        <w:rPr>
          <w:rFonts w:eastAsia="宋体"/>
          <w:lang w:eastAsia="zh-CN"/>
        </w:rPr>
      </w:pPr>
      <w:r>
        <w:rPr>
          <w:rFonts w:hint="eastAsia" w:eastAsia="宋体"/>
          <w:lang w:eastAsia="zh-CN"/>
        </w:rPr>
        <w:t>Appendix</w:t>
      </w:r>
    </w:p>
    <w:p>
      <w:pPr>
        <w:jc w:val="center"/>
        <w:rPr>
          <w:rFonts w:hint="eastAsia" w:eastAsia="宋体"/>
          <w:lang w:eastAsia="zh-CN"/>
        </w:rPr>
      </w:pPr>
      <w:r>
        <w:rPr>
          <w:rFonts w:hint="eastAsia" w:eastAsia="宋体"/>
          <w:lang w:eastAsia="zh-CN"/>
        </w:rPr>
        <w:t>Table 1 Simulation Assumptions</w:t>
      </w:r>
    </w:p>
    <w:tbl>
      <w:tblPr>
        <w:tblStyle w:val="29"/>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59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I</w:t>
            </w:r>
            <w:r>
              <w:rPr>
                <w:rFonts w:hint="eastAsia"/>
              </w:rPr>
              <w:t>tem</w:t>
            </w:r>
          </w:p>
        </w:tc>
        <w:tc>
          <w:tcPr>
            <w:tcW w:w="5915" w:type="dxa"/>
          </w:tcPr>
          <w:p>
            <w:r>
              <w:t>V</w:t>
            </w:r>
            <w:r>
              <w:rPr>
                <w:rFonts w:hint="eastAsia"/>
              </w:rPr>
              <w:t>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C</w:t>
            </w:r>
            <w:r>
              <w:rPr>
                <w:rFonts w:hint="eastAsia"/>
              </w:rPr>
              <w:t>hannel</w:t>
            </w:r>
          </w:p>
        </w:tc>
        <w:tc>
          <w:tcPr>
            <w:tcW w:w="5915" w:type="dxa"/>
          </w:tcPr>
          <w:p>
            <w:r>
              <w:rPr>
                <w:rFonts w:hint="eastAsia"/>
              </w:rPr>
              <w:t xml:space="preserve">TDL-A, </w:t>
            </w:r>
          </w:p>
          <w:p>
            <w:r>
              <w:rPr>
                <w:rFonts w:hint="eastAsia"/>
              </w:rPr>
              <w:t>DS = 30ns, 300ns,1000ns</w:t>
            </w:r>
          </w:p>
          <w:p>
            <w:r>
              <w:t>S</w:t>
            </w:r>
            <w:r>
              <w:rPr>
                <w:rFonts w:hint="eastAsia"/>
              </w:rPr>
              <w:t>peed = 3kmph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rPr>
                <w:rFonts w:hint="eastAsia"/>
              </w:rPr>
              <w:t>RS overhead</w:t>
            </w:r>
          </w:p>
        </w:tc>
        <w:tc>
          <w:tcPr>
            <w:tcW w:w="5915" w:type="dxa"/>
          </w:tcPr>
          <w:p>
            <w:r>
              <w:rPr>
                <w:rFonts w:hint="eastAsia"/>
              </w:rPr>
              <w:t>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A</w:t>
            </w:r>
            <w:r>
              <w:rPr>
                <w:rFonts w:hint="eastAsia"/>
              </w:rPr>
              <w:t>ntenna</w:t>
            </w:r>
          </w:p>
        </w:tc>
        <w:tc>
          <w:tcPr>
            <w:tcW w:w="5915" w:type="dxa"/>
          </w:tcPr>
          <w:p>
            <w:r>
              <w:rPr>
                <w:rFonts w:hint="eastAsia"/>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N</w:t>
            </w:r>
            <w:r>
              <w:rPr>
                <w:rFonts w:hint="eastAsia"/>
              </w:rPr>
              <w:t>umerology</w:t>
            </w:r>
          </w:p>
        </w:tc>
        <w:tc>
          <w:tcPr>
            <w:tcW w:w="5915" w:type="dxa"/>
          </w:tcPr>
          <w:p>
            <w:pPr>
              <w:rPr>
                <w:rFonts w:hint="eastAsia" w:eastAsia="宋体"/>
                <w:lang w:eastAsia="zh-CN"/>
              </w:rPr>
            </w:pPr>
            <w:bookmarkStart w:id="5" w:name="OLE_LINK4"/>
            <w:r>
              <w:rPr>
                <w:rFonts w:hint="eastAsia"/>
              </w:rPr>
              <w:t xml:space="preserve">BW = </w:t>
            </w:r>
            <w:r>
              <w:rPr>
                <w:rFonts w:hint="eastAsia" w:eastAsia="宋体"/>
                <w:lang w:val="en-US" w:eastAsia="zh-CN"/>
              </w:rPr>
              <w:t>1</w:t>
            </w:r>
            <w:r>
              <w:rPr>
                <w:rFonts w:hint="eastAsia"/>
              </w:rPr>
              <w:t xml:space="preserve">0Mhz, SCS = 15kHz, </w:t>
            </w:r>
            <w:r>
              <w:rPr>
                <w:rFonts w:hint="eastAsia" w:eastAsia="宋体"/>
                <w:lang w:val="en-US" w:eastAsia="zh-CN"/>
              </w:rPr>
              <w:t>50</w:t>
            </w:r>
            <w:r>
              <w:rPr>
                <w:rFonts w:hint="eastAsia"/>
              </w:rPr>
              <w:t xml:space="preserve"> RB</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Aggregation</w:t>
            </w:r>
            <w:r>
              <w:rPr>
                <w:rFonts w:hint="eastAsia"/>
              </w:rPr>
              <w:t xml:space="preserve"> level (AL)</w:t>
            </w:r>
          </w:p>
        </w:tc>
        <w:tc>
          <w:tcPr>
            <w:tcW w:w="5915" w:type="dxa"/>
          </w:tcPr>
          <w:p>
            <w:pPr>
              <w:rPr>
                <w:rFonts w:hint="eastAsia" w:eastAsia="宋体"/>
                <w:lang w:eastAsia="zh-CN"/>
              </w:rPr>
            </w:pPr>
            <w:r>
              <w:rPr>
                <w:rFonts w:hint="eastAsia" w:eastAsia="宋体"/>
                <w:lang w:val="en-US" w:eastAsia="zh-CN"/>
              </w:rPr>
              <w:t>1,2,</w:t>
            </w:r>
            <w:r>
              <w:rPr>
                <w:rFonts w:hint="eastAsia"/>
              </w:rPr>
              <w:t>4</w:t>
            </w:r>
            <w:r>
              <w:rPr>
                <w:rFonts w:hint="eastAsia" w:eastAsia="宋体"/>
                <w:lang w:val="en-US" w:eastAsia="zh-CN"/>
              </w:rPr>
              <w:t>,</w:t>
            </w:r>
            <w:r>
              <w:rPr>
                <w:rFonts w:hint="eastAsia"/>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rPr>
                <w:rFonts w:hint="eastAsia"/>
              </w:rPr>
              <w:t>CCE</w:t>
            </w:r>
          </w:p>
        </w:tc>
        <w:tc>
          <w:tcPr>
            <w:tcW w:w="5915" w:type="dxa"/>
          </w:tcPr>
          <w:p>
            <w:r>
              <w:rPr>
                <w:rFonts w:hint="eastAsia"/>
              </w:rPr>
              <w:t xml:space="preserve">6 </w:t>
            </w:r>
            <w:r>
              <w:rPr>
                <w:rFonts w:hint="eastAsia" w:eastAsia="宋体"/>
                <w:lang w:eastAsia="zh-CN"/>
              </w:rPr>
              <w:t>REGs</w:t>
            </w:r>
            <w:r>
              <w:rPr>
                <w:rFonts w:hint="eastAsia"/>
              </w:rPr>
              <w:t>/CCE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rPr>
                <w:rFonts w:hint="eastAsia"/>
              </w:rPr>
              <w:t>PDCCH payload</w:t>
            </w:r>
          </w:p>
        </w:tc>
        <w:tc>
          <w:tcPr>
            <w:tcW w:w="5915" w:type="dxa"/>
          </w:tcPr>
          <w:p>
            <w:r>
              <w:rPr>
                <w:rFonts w:hint="eastAsia"/>
              </w:rPr>
              <w:t>60+16(CRC)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pPr>
              <w:rPr>
                <w:rFonts w:hint="eastAsia" w:eastAsia="宋体"/>
                <w:lang w:eastAsia="zh-CN"/>
              </w:rPr>
            </w:pPr>
            <w:r>
              <w:rPr>
                <w:rFonts w:eastAsia="宋体"/>
                <w:lang w:eastAsia="zh-CN"/>
              </w:rPr>
              <w:t xml:space="preserve">Number </w:t>
            </w:r>
            <w:r>
              <w:rPr>
                <w:rFonts w:hint="eastAsia" w:eastAsia="宋体"/>
                <w:lang w:eastAsia="zh-CN"/>
              </w:rPr>
              <w:t>of OFDM symbols for PDCCH</w:t>
            </w:r>
          </w:p>
        </w:tc>
        <w:tc>
          <w:tcPr>
            <w:tcW w:w="5915" w:type="dxa"/>
          </w:tcPr>
          <w:p>
            <w:pPr>
              <w:rPr>
                <w:rFonts w:hint="eastAsia" w:eastAsia="宋体"/>
                <w:lang w:eastAsia="zh-CN"/>
              </w:rPr>
            </w:pPr>
            <w:r>
              <w:rPr>
                <w:rFonts w:hint="eastAsia"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rPr>
                <w:rFonts w:hint="eastAsia"/>
              </w:rPr>
              <w:t>coding</w:t>
            </w:r>
          </w:p>
        </w:tc>
        <w:tc>
          <w:tcPr>
            <w:tcW w:w="5915" w:type="dxa"/>
          </w:tcPr>
          <w:p>
            <w:r>
              <w:rPr>
                <w:rFonts w:hint="eastAsia"/>
              </w:rPr>
              <w:t>TBCC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M</w:t>
            </w:r>
            <w:r>
              <w:rPr>
                <w:rFonts w:hint="eastAsia"/>
              </w:rPr>
              <w:t xml:space="preserve">odulation </w:t>
            </w:r>
          </w:p>
        </w:tc>
        <w:tc>
          <w:tcPr>
            <w:tcW w:w="5915" w:type="dxa"/>
          </w:tcPr>
          <w:p>
            <w:r>
              <w:rPr>
                <w:rFonts w:hint="eastAsia"/>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F</w:t>
            </w:r>
            <w:r>
              <w:rPr>
                <w:rFonts w:hint="eastAsia"/>
              </w:rPr>
              <w:t>requency</w:t>
            </w:r>
          </w:p>
        </w:tc>
        <w:tc>
          <w:tcPr>
            <w:tcW w:w="5915" w:type="dxa"/>
          </w:tcPr>
          <w:p>
            <w:r>
              <w:rPr>
                <w:rFonts w:hint="eastAsia"/>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R</w:t>
            </w:r>
            <w:r>
              <w:rPr>
                <w:rFonts w:hint="eastAsia"/>
              </w:rPr>
              <w:t>eceiver</w:t>
            </w:r>
          </w:p>
        </w:tc>
        <w:tc>
          <w:tcPr>
            <w:tcW w:w="5915" w:type="dxa"/>
          </w:tcPr>
          <w:p>
            <w:r>
              <w:rPr>
                <w:rFonts w:hint="eastAsia"/>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T</w:t>
            </w:r>
            <w:r>
              <w:rPr>
                <w:rFonts w:hint="eastAsia"/>
              </w:rPr>
              <w:t>ransmit scheme</w:t>
            </w:r>
          </w:p>
        </w:tc>
        <w:tc>
          <w:tcPr>
            <w:tcW w:w="5915" w:type="dxa"/>
          </w:tcPr>
          <w:p>
            <w:pPr>
              <w:numPr>
                <w:ilvl w:val="0"/>
                <w:numId w:val="14"/>
              </w:numPr>
              <w:rPr>
                <w:rFonts w:eastAsia="宋体"/>
                <w:lang w:eastAsia="zh-CN"/>
              </w:rPr>
            </w:pPr>
            <w:r>
              <w:rPr>
                <w:rFonts w:hint="eastAsia" w:eastAsia="宋体"/>
                <w:lang w:eastAsia="zh-CN"/>
              </w:rPr>
              <w:t>closed loop rank 1 transmission</w:t>
            </w:r>
          </w:p>
          <w:p>
            <w:pPr>
              <w:numPr>
                <w:ilvl w:val="0"/>
                <w:numId w:val="14"/>
              </w:numPr>
            </w:pPr>
            <w:r>
              <w:rPr>
                <w:rFonts w:hint="eastAsia"/>
              </w:rPr>
              <w:t>1 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6" w:type="dxa"/>
          </w:tcPr>
          <w:p>
            <w:r>
              <w:t>M</w:t>
            </w:r>
            <w:r>
              <w:rPr>
                <w:rFonts w:hint="eastAsia"/>
              </w:rPr>
              <w:t>apping scheme</w:t>
            </w:r>
          </w:p>
        </w:tc>
        <w:tc>
          <w:tcPr>
            <w:tcW w:w="5915" w:type="dxa"/>
          </w:tcPr>
          <w:p>
            <w:pPr>
              <w:rPr>
                <w:rFonts w:eastAsia="宋体"/>
                <w:lang w:eastAsia="zh-CN"/>
              </w:rPr>
            </w:pPr>
            <w:r>
              <w:rPr>
                <w:rFonts w:hint="eastAsia" w:eastAsia="宋体"/>
                <w:lang w:eastAsia="zh-CN"/>
              </w:rPr>
              <w:t>localized</w:t>
            </w:r>
          </w:p>
        </w:tc>
      </w:tr>
    </w:tbl>
    <w:p>
      <w:pPr>
        <w:rPr>
          <w:rFonts w:eastAsia="宋体"/>
          <w:lang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Webdings">
    <w:panose1 w:val="05030102010509060703"/>
    <w:charset w:val="02"/>
    <w:family w:val="roman"/>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1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666"/>
    <w:multiLevelType w:val="multilevel"/>
    <w:tmpl w:val="00283666"/>
    <w:lvl w:ilvl="0" w:tentative="0">
      <w:start w:val="1"/>
      <w:numFmt w:val="decimal"/>
      <w:lvlText w:val="%1."/>
      <w:lvlJc w:val="left"/>
      <w:pPr>
        <w:tabs>
          <w:tab w:val="left" w:pos="360"/>
        </w:tabs>
        <w:ind w:left="360" w:firstLine="0"/>
      </w:pPr>
      <w:rPr>
        <w:rFonts w:hint="default"/>
        <w:bCs w:val="0"/>
        <w:iCs w:val="0"/>
        <w:caps w:val="0"/>
        <w:smallCaps w:val="0"/>
        <w:strike w:val="0"/>
        <w:dstrike w:val="0"/>
        <w:outline w:val="0"/>
        <w:shadow w:val="0"/>
        <w:emboss w:val="0"/>
        <w:imprint w:val="0"/>
        <w:snapToGrid w:val="0"/>
        <w:vanish w:val="0"/>
        <w:spacing w:val="0"/>
        <w:position w:val="0"/>
        <w:u w:val="none"/>
        <w:vertAlign w:val="baseline"/>
      </w:rPr>
    </w:lvl>
    <w:lvl w:ilvl="1" w:tentative="0">
      <w:start w:val="1"/>
      <w:numFmt w:val="none"/>
      <w:lvlRestart w:val="0"/>
      <w:lvlText w:val="1.1"/>
      <w:lvlJc w:val="left"/>
      <w:pPr>
        <w:tabs>
          <w:tab w:val="left" w:pos="851"/>
        </w:tabs>
        <w:ind w:left="851" w:firstLine="0"/>
      </w:pPr>
      <w:rPr>
        <w:rFonts w:hint="default"/>
      </w:rPr>
    </w:lvl>
    <w:lvl w:ilvl="2" w:tentative="0">
      <w:start w:val="1"/>
      <w:numFmt w:val="decimal"/>
      <w:lvlText w:val="%1.%2.%3."/>
      <w:lvlJc w:val="left"/>
      <w:pPr>
        <w:tabs>
          <w:tab w:val="left" w:pos="360"/>
        </w:tabs>
        <w:ind w:left="360" w:firstLine="0"/>
      </w:pPr>
      <w:rPr>
        <w:rFonts w:hint="default"/>
        <w:i w:val="0"/>
      </w:rPr>
    </w:lvl>
    <w:lvl w:ilvl="3" w:tentative="0">
      <w:start w:val="1"/>
      <w:numFmt w:val="decimal"/>
      <w:lvlText w:val="%1.%2.%3.%4."/>
      <w:lvlJc w:val="left"/>
      <w:pPr>
        <w:tabs>
          <w:tab w:val="left" w:pos="360"/>
        </w:tabs>
        <w:ind w:left="360" w:firstLine="0"/>
      </w:pPr>
      <w:rPr>
        <w:rFonts w:hint="default"/>
      </w:rPr>
    </w:lvl>
    <w:lvl w:ilvl="4" w:tentative="0">
      <w:start w:val="1"/>
      <w:numFmt w:val="decimal"/>
      <w:lvlText w:val="%1.%2.%3.%4.%5."/>
      <w:lvlJc w:val="left"/>
      <w:pPr>
        <w:tabs>
          <w:tab w:val="left" w:pos="360"/>
        </w:tabs>
        <w:ind w:left="360" w:firstLine="0"/>
      </w:pPr>
      <w:rPr>
        <w:rFonts w:hint="default"/>
      </w:rPr>
    </w:lvl>
    <w:lvl w:ilvl="5" w:tentative="0">
      <w:start w:val="1"/>
      <w:numFmt w:val="decimal"/>
      <w:lvlText w:val="%1.%2.%3.%4.%5.%6."/>
      <w:lvlJc w:val="left"/>
      <w:pPr>
        <w:tabs>
          <w:tab w:val="left" w:pos="360"/>
        </w:tabs>
        <w:ind w:left="360" w:firstLine="0"/>
      </w:pPr>
      <w:rPr>
        <w:rFonts w:hint="default"/>
      </w:rPr>
    </w:lvl>
    <w:lvl w:ilvl="6" w:tentative="0">
      <w:start w:val="1"/>
      <w:numFmt w:val="upperLetter"/>
      <w:lvlRestart w:val="0"/>
      <w:lvlText w:val="Appendix %7."/>
      <w:lvlJc w:val="left"/>
      <w:pPr>
        <w:tabs>
          <w:tab w:val="left" w:pos="360"/>
        </w:tabs>
        <w:ind w:left="360" w:firstLine="0"/>
      </w:pPr>
      <w:rPr>
        <w:rFonts w:hint="default"/>
      </w:rPr>
    </w:lvl>
    <w:lvl w:ilvl="7" w:tentative="0">
      <w:start w:val="1"/>
      <w:numFmt w:val="decimal"/>
      <w:lvlText w:val="%7.%8"/>
      <w:lvlJc w:val="left"/>
      <w:pPr>
        <w:tabs>
          <w:tab w:val="left" w:pos="360"/>
        </w:tabs>
        <w:ind w:left="360" w:firstLine="0"/>
      </w:pPr>
      <w:rPr>
        <w:rFonts w:hint="default"/>
      </w:rPr>
    </w:lvl>
    <w:lvl w:ilvl="8" w:tentative="0">
      <w:start w:val="1"/>
      <w:numFmt w:val="decimal"/>
      <w:lvlText w:val="%7.%8.%9"/>
      <w:lvlJc w:val="left"/>
      <w:pPr>
        <w:tabs>
          <w:tab w:val="left" w:pos="360"/>
        </w:tabs>
        <w:ind w:left="360" w:firstLine="0"/>
      </w:pPr>
      <w:rPr>
        <w:rFonts w:hint="default"/>
      </w:rPr>
    </w:lvl>
  </w:abstractNum>
  <w:abstractNum w:abstractNumId="1">
    <w:nsid w:val="02552047"/>
    <w:multiLevelType w:val="multilevel"/>
    <w:tmpl w:val="02552047"/>
    <w:lvl w:ilvl="0" w:tentative="0">
      <w:start w:val="1"/>
      <w:numFmt w:val="decimal"/>
      <w:pStyle w:val="2"/>
      <w:lvlText w:val="%1"/>
      <w:lvlJc w:val="left"/>
      <w:pPr>
        <w:tabs>
          <w:tab w:val="left" w:pos="612"/>
        </w:tabs>
        <w:ind w:left="612" w:hanging="432"/>
      </w:pPr>
      <w:rPr>
        <w:rFonts w:hint="default"/>
      </w:rPr>
    </w:lvl>
    <w:lvl w:ilvl="1" w:tentative="0">
      <w:start w:val="1"/>
      <w:numFmt w:val="decimal"/>
      <w:pStyle w:val="3"/>
      <w:lvlText w:val="%1.%2"/>
      <w:lvlJc w:val="left"/>
      <w:pPr>
        <w:tabs>
          <w:tab w:val="left" w:pos="1656"/>
        </w:tabs>
        <w:ind w:left="1656" w:hanging="576"/>
      </w:pPr>
      <w:rPr>
        <w:rFonts w:hint="default" w:ascii="Arial" w:hAnsi="Arial" w:cs="Arial"/>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B875D57"/>
    <w:multiLevelType w:val="multilevel"/>
    <w:tmpl w:val="0B875D5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8E82187"/>
    <w:multiLevelType w:val="multilevel"/>
    <w:tmpl w:val="18E82187"/>
    <w:lvl w:ilvl="0" w:tentative="0">
      <w:start w:val="1"/>
      <w:numFmt w:val="decimal"/>
      <w:pStyle w:val="88"/>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277A20B9"/>
    <w:multiLevelType w:val="multilevel"/>
    <w:tmpl w:val="277A20B9"/>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5824B0"/>
    <w:multiLevelType w:val="multilevel"/>
    <w:tmpl w:val="395824B0"/>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ind w:left="360" w:hanging="360"/>
      </w:pPr>
      <w:rPr>
        <w:rFonts w:hint="default" w:ascii="Times New Roman" w:hAnsi="Times New Roman" w:eastAsia="宋体" w:cs="Times New Roman"/>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41CA2C26"/>
    <w:multiLevelType w:val="singleLevel"/>
    <w:tmpl w:val="41CA2C26"/>
    <w:lvl w:ilvl="0" w:tentative="0">
      <w:start w:val="1"/>
      <w:numFmt w:val="bullet"/>
      <w:pStyle w:val="79"/>
      <w:lvlText w:val=""/>
      <w:lvlJc w:val="left"/>
      <w:pPr>
        <w:tabs>
          <w:tab w:val="left" w:pos="360"/>
        </w:tabs>
        <w:ind w:left="360" w:hanging="360"/>
      </w:pPr>
      <w:rPr>
        <w:rFonts w:hint="default" w:ascii="Webdings" w:hAnsi="Webdings"/>
      </w:rPr>
    </w:lvl>
  </w:abstractNum>
  <w:abstractNum w:abstractNumId="7">
    <w:nsid w:val="49410E1E"/>
    <w:multiLevelType w:val="multilevel"/>
    <w:tmpl w:val="49410E1E"/>
    <w:lvl w:ilvl="0" w:tentative="0">
      <w:start w:val="48"/>
      <w:numFmt w:val="bullet"/>
      <w:lvlText w:val="•"/>
      <w:lvlJc w:val="left"/>
      <w:pPr>
        <w:ind w:left="420" w:hanging="420"/>
      </w:pPr>
      <w:rPr>
        <w:rFonts w:hint="default" w:ascii="Times New Roman" w:hAnsi="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4EB7A2B"/>
    <w:multiLevelType w:val="multilevel"/>
    <w:tmpl w:val="54EB7A2B"/>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5CF14FCD"/>
    <w:multiLevelType w:val="multilevel"/>
    <w:tmpl w:val="5CF14FCD"/>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8362497"/>
    <w:multiLevelType w:val="multilevel"/>
    <w:tmpl w:val="68362497"/>
    <w:lvl w:ilvl="0" w:tentative="0">
      <w:start w:val="1"/>
      <w:numFmt w:val="decimal"/>
      <w:lvlText w:val="%1."/>
      <w:lvlJc w:val="left"/>
      <w:pPr>
        <w:ind w:left="425" w:hanging="425"/>
      </w:pPr>
      <w:rPr>
        <w:sz w:val="32"/>
        <w:szCs w:val="32"/>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2">
    <w:nsid w:val="73E56F14"/>
    <w:multiLevelType w:val="multilevel"/>
    <w:tmpl w:val="73E56F14"/>
    <w:lvl w:ilvl="0" w:tentative="0">
      <w:start w:val="1"/>
      <w:numFmt w:val="decimal"/>
      <w:pStyle w:val="77"/>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12"/>
  </w:num>
  <w:num w:numId="3">
    <w:abstractNumId w:val="6"/>
  </w:num>
  <w:num w:numId="4">
    <w:abstractNumId w:val="8"/>
  </w:num>
  <w:num w:numId="5">
    <w:abstractNumId w:val="3"/>
  </w:num>
  <w:num w:numId="6">
    <w:abstractNumId w:val="11"/>
  </w:num>
  <w:num w:numId="7">
    <w:abstractNumId w:val="9"/>
  </w:num>
  <w:num w:numId="8">
    <w:abstractNumId w:val="5"/>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7"/>
  </w:num>
  <w:num w:numId="12">
    <w:abstractNumId w:val="4"/>
  </w:num>
  <w:num w:numId="13">
    <w:abstractNumId w:val="10"/>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2"/>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CC6"/>
    <w:rsid w:val="00002E58"/>
    <w:rsid w:val="00003174"/>
    <w:rsid w:val="00003258"/>
    <w:rsid w:val="000038E9"/>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515"/>
    <w:rsid w:val="00017B42"/>
    <w:rsid w:val="00020425"/>
    <w:rsid w:val="000205A2"/>
    <w:rsid w:val="00020A08"/>
    <w:rsid w:val="00021002"/>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DB8"/>
    <w:rsid w:val="00040EF5"/>
    <w:rsid w:val="0004183B"/>
    <w:rsid w:val="000425E4"/>
    <w:rsid w:val="00042A3A"/>
    <w:rsid w:val="00043032"/>
    <w:rsid w:val="00043B51"/>
    <w:rsid w:val="00044A67"/>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C67"/>
    <w:rsid w:val="00064D07"/>
    <w:rsid w:val="00065561"/>
    <w:rsid w:val="00065645"/>
    <w:rsid w:val="000656B1"/>
    <w:rsid w:val="00065D1B"/>
    <w:rsid w:val="00065FBD"/>
    <w:rsid w:val="0006638A"/>
    <w:rsid w:val="00066EE6"/>
    <w:rsid w:val="00066EFD"/>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3D4B"/>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43B"/>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550"/>
    <w:rsid w:val="00097864"/>
    <w:rsid w:val="00097B72"/>
    <w:rsid w:val="000A0532"/>
    <w:rsid w:val="000A075A"/>
    <w:rsid w:val="000A0AA5"/>
    <w:rsid w:val="000A0C0E"/>
    <w:rsid w:val="000A0D74"/>
    <w:rsid w:val="000A12D2"/>
    <w:rsid w:val="000A1673"/>
    <w:rsid w:val="000A16C3"/>
    <w:rsid w:val="000A1A14"/>
    <w:rsid w:val="000A2423"/>
    <w:rsid w:val="000A3280"/>
    <w:rsid w:val="000A3643"/>
    <w:rsid w:val="000A3E2A"/>
    <w:rsid w:val="000A3F47"/>
    <w:rsid w:val="000A3FB0"/>
    <w:rsid w:val="000A43A8"/>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C61"/>
    <w:rsid w:val="000B3D3B"/>
    <w:rsid w:val="000B3DA2"/>
    <w:rsid w:val="000B43FC"/>
    <w:rsid w:val="000B4A3A"/>
    <w:rsid w:val="000B518A"/>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6C2"/>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DF2"/>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7F"/>
    <w:rsid w:val="00102DF3"/>
    <w:rsid w:val="0010313D"/>
    <w:rsid w:val="00103162"/>
    <w:rsid w:val="001035E1"/>
    <w:rsid w:val="00104B9A"/>
    <w:rsid w:val="00104D68"/>
    <w:rsid w:val="001059AD"/>
    <w:rsid w:val="00105ED4"/>
    <w:rsid w:val="00106311"/>
    <w:rsid w:val="0010637C"/>
    <w:rsid w:val="001064A3"/>
    <w:rsid w:val="00106640"/>
    <w:rsid w:val="00106D97"/>
    <w:rsid w:val="00106DEF"/>
    <w:rsid w:val="0010740F"/>
    <w:rsid w:val="00107533"/>
    <w:rsid w:val="00107903"/>
    <w:rsid w:val="001105EB"/>
    <w:rsid w:val="00110683"/>
    <w:rsid w:val="00110855"/>
    <w:rsid w:val="00110A45"/>
    <w:rsid w:val="00110DE7"/>
    <w:rsid w:val="00110DFA"/>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582"/>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63F"/>
    <w:rsid w:val="0013074D"/>
    <w:rsid w:val="0013092B"/>
    <w:rsid w:val="00130CF3"/>
    <w:rsid w:val="00130D99"/>
    <w:rsid w:val="00131220"/>
    <w:rsid w:val="00131592"/>
    <w:rsid w:val="001315C5"/>
    <w:rsid w:val="001315ED"/>
    <w:rsid w:val="00131F05"/>
    <w:rsid w:val="00132659"/>
    <w:rsid w:val="00132679"/>
    <w:rsid w:val="001329BF"/>
    <w:rsid w:val="00133222"/>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99D"/>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4EE1"/>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2A3"/>
    <w:rsid w:val="0015095C"/>
    <w:rsid w:val="00150D37"/>
    <w:rsid w:val="00150D7D"/>
    <w:rsid w:val="00150E59"/>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DE9"/>
    <w:rsid w:val="0016181E"/>
    <w:rsid w:val="00162A56"/>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9DF"/>
    <w:rsid w:val="00172B79"/>
    <w:rsid w:val="00172DF5"/>
    <w:rsid w:val="001736B0"/>
    <w:rsid w:val="0017392D"/>
    <w:rsid w:val="00173944"/>
    <w:rsid w:val="0017394E"/>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BD0"/>
    <w:rsid w:val="00180C7A"/>
    <w:rsid w:val="00180D3D"/>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02A"/>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F9"/>
    <w:rsid w:val="001C2446"/>
    <w:rsid w:val="001C2933"/>
    <w:rsid w:val="001C2B18"/>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876"/>
    <w:rsid w:val="001F6C50"/>
    <w:rsid w:val="001F7439"/>
    <w:rsid w:val="001F7A12"/>
    <w:rsid w:val="001F7D56"/>
    <w:rsid w:val="001F7FE2"/>
    <w:rsid w:val="00200625"/>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E43"/>
    <w:rsid w:val="00206E5C"/>
    <w:rsid w:val="00206F81"/>
    <w:rsid w:val="00207316"/>
    <w:rsid w:val="0020731E"/>
    <w:rsid w:val="0020738A"/>
    <w:rsid w:val="002073DB"/>
    <w:rsid w:val="00207551"/>
    <w:rsid w:val="00207616"/>
    <w:rsid w:val="00207B8A"/>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769"/>
    <w:rsid w:val="002157B1"/>
    <w:rsid w:val="00215991"/>
    <w:rsid w:val="00215FA8"/>
    <w:rsid w:val="00216122"/>
    <w:rsid w:val="002168C7"/>
    <w:rsid w:val="00216B41"/>
    <w:rsid w:val="00216F9E"/>
    <w:rsid w:val="002173B6"/>
    <w:rsid w:val="00217F5D"/>
    <w:rsid w:val="00220053"/>
    <w:rsid w:val="002201B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62E6"/>
    <w:rsid w:val="002362EB"/>
    <w:rsid w:val="0023634F"/>
    <w:rsid w:val="00236751"/>
    <w:rsid w:val="002370B1"/>
    <w:rsid w:val="00237135"/>
    <w:rsid w:val="00237C07"/>
    <w:rsid w:val="00237EAE"/>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E50"/>
    <w:rsid w:val="002562F8"/>
    <w:rsid w:val="0025659B"/>
    <w:rsid w:val="002567B9"/>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5E8C"/>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7FE"/>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984"/>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C4D"/>
    <w:rsid w:val="002872D8"/>
    <w:rsid w:val="002876F7"/>
    <w:rsid w:val="002877D4"/>
    <w:rsid w:val="002878C5"/>
    <w:rsid w:val="00287DA7"/>
    <w:rsid w:val="00290930"/>
    <w:rsid w:val="00290B2A"/>
    <w:rsid w:val="00291030"/>
    <w:rsid w:val="00291720"/>
    <w:rsid w:val="00291C69"/>
    <w:rsid w:val="0029274D"/>
    <w:rsid w:val="00292AE5"/>
    <w:rsid w:val="00292EB2"/>
    <w:rsid w:val="00293595"/>
    <w:rsid w:val="00293DB1"/>
    <w:rsid w:val="0029401F"/>
    <w:rsid w:val="002944E5"/>
    <w:rsid w:val="00294611"/>
    <w:rsid w:val="0029470C"/>
    <w:rsid w:val="00294AA3"/>
    <w:rsid w:val="00294C45"/>
    <w:rsid w:val="00295038"/>
    <w:rsid w:val="00295DFD"/>
    <w:rsid w:val="0029606B"/>
    <w:rsid w:val="00296815"/>
    <w:rsid w:val="0029699D"/>
    <w:rsid w:val="00296BA7"/>
    <w:rsid w:val="002971C7"/>
    <w:rsid w:val="0029780A"/>
    <w:rsid w:val="00297A5F"/>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790"/>
    <w:rsid w:val="002B5852"/>
    <w:rsid w:val="002B60BA"/>
    <w:rsid w:val="002B6318"/>
    <w:rsid w:val="002B7EE7"/>
    <w:rsid w:val="002C027D"/>
    <w:rsid w:val="002C07F5"/>
    <w:rsid w:val="002C0A82"/>
    <w:rsid w:val="002C10AE"/>
    <w:rsid w:val="002C1355"/>
    <w:rsid w:val="002C1581"/>
    <w:rsid w:val="002C1F74"/>
    <w:rsid w:val="002C2127"/>
    <w:rsid w:val="002C285A"/>
    <w:rsid w:val="002C2BEB"/>
    <w:rsid w:val="002C3325"/>
    <w:rsid w:val="002C388A"/>
    <w:rsid w:val="002C4093"/>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85"/>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0B"/>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448"/>
    <w:rsid w:val="0033394B"/>
    <w:rsid w:val="003339A0"/>
    <w:rsid w:val="003343E7"/>
    <w:rsid w:val="0033455F"/>
    <w:rsid w:val="003349A4"/>
    <w:rsid w:val="00334CB7"/>
    <w:rsid w:val="00334CC5"/>
    <w:rsid w:val="0033534E"/>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223E"/>
    <w:rsid w:val="00343AA7"/>
    <w:rsid w:val="0034429E"/>
    <w:rsid w:val="003442AC"/>
    <w:rsid w:val="00344381"/>
    <w:rsid w:val="003449EA"/>
    <w:rsid w:val="00344FD5"/>
    <w:rsid w:val="00345941"/>
    <w:rsid w:val="00345C75"/>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C6B"/>
    <w:rsid w:val="0035244A"/>
    <w:rsid w:val="003524E5"/>
    <w:rsid w:val="00352624"/>
    <w:rsid w:val="00352D9A"/>
    <w:rsid w:val="00352DAE"/>
    <w:rsid w:val="00353012"/>
    <w:rsid w:val="00353599"/>
    <w:rsid w:val="00353A8E"/>
    <w:rsid w:val="00353AB3"/>
    <w:rsid w:val="00353B83"/>
    <w:rsid w:val="003542A4"/>
    <w:rsid w:val="00354916"/>
    <w:rsid w:val="00354BBA"/>
    <w:rsid w:val="00354FDB"/>
    <w:rsid w:val="0035537A"/>
    <w:rsid w:val="0035589D"/>
    <w:rsid w:val="00355BDB"/>
    <w:rsid w:val="003564FA"/>
    <w:rsid w:val="0035688B"/>
    <w:rsid w:val="003604FD"/>
    <w:rsid w:val="00360E12"/>
    <w:rsid w:val="003619C1"/>
    <w:rsid w:val="00361A2B"/>
    <w:rsid w:val="0036236F"/>
    <w:rsid w:val="00362758"/>
    <w:rsid w:val="00362BFE"/>
    <w:rsid w:val="00362D18"/>
    <w:rsid w:val="00363204"/>
    <w:rsid w:val="00363AA4"/>
    <w:rsid w:val="00363B5A"/>
    <w:rsid w:val="00363F02"/>
    <w:rsid w:val="00364368"/>
    <w:rsid w:val="003646E3"/>
    <w:rsid w:val="003647D3"/>
    <w:rsid w:val="00364E65"/>
    <w:rsid w:val="0036599C"/>
    <w:rsid w:val="00365BBB"/>
    <w:rsid w:val="00365DCD"/>
    <w:rsid w:val="00366030"/>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BDC"/>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F7"/>
    <w:rsid w:val="0038526F"/>
    <w:rsid w:val="00385907"/>
    <w:rsid w:val="00385B14"/>
    <w:rsid w:val="00385B2E"/>
    <w:rsid w:val="003861E3"/>
    <w:rsid w:val="003864AA"/>
    <w:rsid w:val="003864DF"/>
    <w:rsid w:val="00386A6E"/>
    <w:rsid w:val="0038713E"/>
    <w:rsid w:val="00387380"/>
    <w:rsid w:val="003874AF"/>
    <w:rsid w:val="003877A2"/>
    <w:rsid w:val="00387F0D"/>
    <w:rsid w:val="0039020E"/>
    <w:rsid w:val="003904BF"/>
    <w:rsid w:val="00390EE7"/>
    <w:rsid w:val="00390FF8"/>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0FFC"/>
    <w:rsid w:val="003B1657"/>
    <w:rsid w:val="003B1672"/>
    <w:rsid w:val="003B1863"/>
    <w:rsid w:val="003B1EC1"/>
    <w:rsid w:val="003B2427"/>
    <w:rsid w:val="003B27FC"/>
    <w:rsid w:val="003B2BD7"/>
    <w:rsid w:val="003B2CB5"/>
    <w:rsid w:val="003B31F0"/>
    <w:rsid w:val="003B33BE"/>
    <w:rsid w:val="003B34D3"/>
    <w:rsid w:val="003B3769"/>
    <w:rsid w:val="003B3963"/>
    <w:rsid w:val="003B3BDF"/>
    <w:rsid w:val="003B3DDE"/>
    <w:rsid w:val="003B3E89"/>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C0"/>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FF6"/>
    <w:rsid w:val="003C63C7"/>
    <w:rsid w:val="003C6476"/>
    <w:rsid w:val="003C6742"/>
    <w:rsid w:val="003C6A32"/>
    <w:rsid w:val="003C6D5B"/>
    <w:rsid w:val="003C71E2"/>
    <w:rsid w:val="003C7241"/>
    <w:rsid w:val="003C75E9"/>
    <w:rsid w:val="003C7706"/>
    <w:rsid w:val="003C7BC4"/>
    <w:rsid w:val="003C7D49"/>
    <w:rsid w:val="003D03C7"/>
    <w:rsid w:val="003D0856"/>
    <w:rsid w:val="003D0AAF"/>
    <w:rsid w:val="003D0C73"/>
    <w:rsid w:val="003D121F"/>
    <w:rsid w:val="003D1F98"/>
    <w:rsid w:val="003D2248"/>
    <w:rsid w:val="003D22C3"/>
    <w:rsid w:val="003D2548"/>
    <w:rsid w:val="003D2669"/>
    <w:rsid w:val="003D3614"/>
    <w:rsid w:val="003D37F3"/>
    <w:rsid w:val="003D38F0"/>
    <w:rsid w:val="003D3F67"/>
    <w:rsid w:val="003D40D5"/>
    <w:rsid w:val="003D44FE"/>
    <w:rsid w:val="003D4B95"/>
    <w:rsid w:val="003D4DF3"/>
    <w:rsid w:val="003D5221"/>
    <w:rsid w:val="003D53A6"/>
    <w:rsid w:val="003D566A"/>
    <w:rsid w:val="003D571E"/>
    <w:rsid w:val="003D60CE"/>
    <w:rsid w:val="003D6ACE"/>
    <w:rsid w:val="003D6BF6"/>
    <w:rsid w:val="003D6D04"/>
    <w:rsid w:val="003D6EE7"/>
    <w:rsid w:val="003D741F"/>
    <w:rsid w:val="003D778A"/>
    <w:rsid w:val="003D7A53"/>
    <w:rsid w:val="003D7CB8"/>
    <w:rsid w:val="003E0301"/>
    <w:rsid w:val="003E0518"/>
    <w:rsid w:val="003E095A"/>
    <w:rsid w:val="003E09EE"/>
    <w:rsid w:val="003E0BC0"/>
    <w:rsid w:val="003E0C8B"/>
    <w:rsid w:val="003E10DD"/>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4F2"/>
    <w:rsid w:val="003F2A44"/>
    <w:rsid w:val="003F2B54"/>
    <w:rsid w:val="003F2B6B"/>
    <w:rsid w:val="003F2C37"/>
    <w:rsid w:val="003F2EEB"/>
    <w:rsid w:val="003F3233"/>
    <w:rsid w:val="003F33D7"/>
    <w:rsid w:val="003F3E4E"/>
    <w:rsid w:val="003F40E2"/>
    <w:rsid w:val="003F46EA"/>
    <w:rsid w:val="003F4DAC"/>
    <w:rsid w:val="003F4EC1"/>
    <w:rsid w:val="003F5420"/>
    <w:rsid w:val="003F5819"/>
    <w:rsid w:val="003F5BC7"/>
    <w:rsid w:val="003F5C2B"/>
    <w:rsid w:val="003F5E22"/>
    <w:rsid w:val="003F6576"/>
    <w:rsid w:val="003F6F44"/>
    <w:rsid w:val="003F752D"/>
    <w:rsid w:val="00400262"/>
    <w:rsid w:val="00400492"/>
    <w:rsid w:val="004008B7"/>
    <w:rsid w:val="00400B22"/>
    <w:rsid w:val="00401266"/>
    <w:rsid w:val="004017F5"/>
    <w:rsid w:val="0040185B"/>
    <w:rsid w:val="00402BB1"/>
    <w:rsid w:val="00402CCF"/>
    <w:rsid w:val="00403891"/>
    <w:rsid w:val="00404CC1"/>
    <w:rsid w:val="004054AC"/>
    <w:rsid w:val="0040621C"/>
    <w:rsid w:val="0040673C"/>
    <w:rsid w:val="00406795"/>
    <w:rsid w:val="004072A5"/>
    <w:rsid w:val="004078FD"/>
    <w:rsid w:val="00410758"/>
    <w:rsid w:val="004109CD"/>
    <w:rsid w:val="00410A70"/>
    <w:rsid w:val="00410A85"/>
    <w:rsid w:val="00410AEF"/>
    <w:rsid w:val="00410BE2"/>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5D5"/>
    <w:rsid w:val="0041578D"/>
    <w:rsid w:val="004157B6"/>
    <w:rsid w:val="00415962"/>
    <w:rsid w:val="00415CF8"/>
    <w:rsid w:val="00415EA8"/>
    <w:rsid w:val="00415EF9"/>
    <w:rsid w:val="004165C3"/>
    <w:rsid w:val="00417002"/>
    <w:rsid w:val="004177C0"/>
    <w:rsid w:val="00417C95"/>
    <w:rsid w:val="00417D12"/>
    <w:rsid w:val="00417D8B"/>
    <w:rsid w:val="00417E6A"/>
    <w:rsid w:val="00417F9E"/>
    <w:rsid w:val="004201D3"/>
    <w:rsid w:val="004201FB"/>
    <w:rsid w:val="00420E88"/>
    <w:rsid w:val="00420F34"/>
    <w:rsid w:val="00421B1B"/>
    <w:rsid w:val="00421C52"/>
    <w:rsid w:val="0042256A"/>
    <w:rsid w:val="00422DC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992"/>
    <w:rsid w:val="00445C9C"/>
    <w:rsid w:val="00445D64"/>
    <w:rsid w:val="00446970"/>
    <w:rsid w:val="00446ADC"/>
    <w:rsid w:val="00446CEA"/>
    <w:rsid w:val="0044749F"/>
    <w:rsid w:val="004501A0"/>
    <w:rsid w:val="00451591"/>
    <w:rsid w:val="004518C7"/>
    <w:rsid w:val="004518CD"/>
    <w:rsid w:val="00451A6C"/>
    <w:rsid w:val="00451BAE"/>
    <w:rsid w:val="00452AA5"/>
    <w:rsid w:val="00452B74"/>
    <w:rsid w:val="00453425"/>
    <w:rsid w:val="0045369C"/>
    <w:rsid w:val="00454176"/>
    <w:rsid w:val="004543EF"/>
    <w:rsid w:val="00454C4C"/>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0994"/>
    <w:rsid w:val="004610A0"/>
    <w:rsid w:val="004612D9"/>
    <w:rsid w:val="00461492"/>
    <w:rsid w:val="004615E0"/>
    <w:rsid w:val="0046219C"/>
    <w:rsid w:val="00462373"/>
    <w:rsid w:val="0046288E"/>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6F4F"/>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69FE"/>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496C"/>
    <w:rsid w:val="00495361"/>
    <w:rsid w:val="00495644"/>
    <w:rsid w:val="00495EE3"/>
    <w:rsid w:val="00496111"/>
    <w:rsid w:val="0049639D"/>
    <w:rsid w:val="0049664F"/>
    <w:rsid w:val="00496977"/>
    <w:rsid w:val="00496AEB"/>
    <w:rsid w:val="00497445"/>
    <w:rsid w:val="00497D45"/>
    <w:rsid w:val="004A01A2"/>
    <w:rsid w:val="004A0361"/>
    <w:rsid w:val="004A0774"/>
    <w:rsid w:val="004A07F5"/>
    <w:rsid w:val="004A09B5"/>
    <w:rsid w:val="004A1969"/>
    <w:rsid w:val="004A1E3B"/>
    <w:rsid w:val="004A31C8"/>
    <w:rsid w:val="004A32EE"/>
    <w:rsid w:val="004A37B3"/>
    <w:rsid w:val="004A39AE"/>
    <w:rsid w:val="004A3A54"/>
    <w:rsid w:val="004A4677"/>
    <w:rsid w:val="004A480D"/>
    <w:rsid w:val="004A4C4A"/>
    <w:rsid w:val="004A4FE2"/>
    <w:rsid w:val="004A5256"/>
    <w:rsid w:val="004A5444"/>
    <w:rsid w:val="004A557B"/>
    <w:rsid w:val="004A5A6C"/>
    <w:rsid w:val="004A619C"/>
    <w:rsid w:val="004A68A8"/>
    <w:rsid w:val="004A6CB9"/>
    <w:rsid w:val="004A6E1E"/>
    <w:rsid w:val="004A73F7"/>
    <w:rsid w:val="004A78C9"/>
    <w:rsid w:val="004B0250"/>
    <w:rsid w:val="004B0755"/>
    <w:rsid w:val="004B11D1"/>
    <w:rsid w:val="004B12E0"/>
    <w:rsid w:val="004B1520"/>
    <w:rsid w:val="004B1C0B"/>
    <w:rsid w:val="004B281A"/>
    <w:rsid w:val="004B29CC"/>
    <w:rsid w:val="004B2A34"/>
    <w:rsid w:val="004B2B88"/>
    <w:rsid w:val="004B333A"/>
    <w:rsid w:val="004B35DF"/>
    <w:rsid w:val="004B3879"/>
    <w:rsid w:val="004B3A6B"/>
    <w:rsid w:val="004B3AF2"/>
    <w:rsid w:val="004B3FC7"/>
    <w:rsid w:val="004B4046"/>
    <w:rsid w:val="004B40CF"/>
    <w:rsid w:val="004B411A"/>
    <w:rsid w:val="004B42A9"/>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5B1C"/>
    <w:rsid w:val="004D6C88"/>
    <w:rsid w:val="004D6F84"/>
    <w:rsid w:val="004D7038"/>
    <w:rsid w:val="004D7E9E"/>
    <w:rsid w:val="004E090E"/>
    <w:rsid w:val="004E0E99"/>
    <w:rsid w:val="004E1198"/>
    <w:rsid w:val="004E1CB7"/>
    <w:rsid w:val="004E1D33"/>
    <w:rsid w:val="004E1E7A"/>
    <w:rsid w:val="004E22F5"/>
    <w:rsid w:val="004E2736"/>
    <w:rsid w:val="004E2748"/>
    <w:rsid w:val="004E334F"/>
    <w:rsid w:val="004E35C8"/>
    <w:rsid w:val="004E3827"/>
    <w:rsid w:val="004E3EA9"/>
    <w:rsid w:val="004E41BD"/>
    <w:rsid w:val="004E496C"/>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A09"/>
    <w:rsid w:val="004F0F7C"/>
    <w:rsid w:val="004F1A0C"/>
    <w:rsid w:val="004F1BB1"/>
    <w:rsid w:val="004F1C5C"/>
    <w:rsid w:val="004F24A8"/>
    <w:rsid w:val="004F2B28"/>
    <w:rsid w:val="004F3897"/>
    <w:rsid w:val="004F40E9"/>
    <w:rsid w:val="004F41D1"/>
    <w:rsid w:val="004F48D3"/>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A09"/>
    <w:rsid w:val="00506F77"/>
    <w:rsid w:val="005073FA"/>
    <w:rsid w:val="00507B1B"/>
    <w:rsid w:val="00507D01"/>
    <w:rsid w:val="00510278"/>
    <w:rsid w:val="00510A7B"/>
    <w:rsid w:val="00510B9D"/>
    <w:rsid w:val="00510EDD"/>
    <w:rsid w:val="00510FF2"/>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60C"/>
    <w:rsid w:val="00520983"/>
    <w:rsid w:val="00520DD7"/>
    <w:rsid w:val="005215AC"/>
    <w:rsid w:val="0052177B"/>
    <w:rsid w:val="005217CF"/>
    <w:rsid w:val="005225C9"/>
    <w:rsid w:val="00522754"/>
    <w:rsid w:val="00522839"/>
    <w:rsid w:val="00522E08"/>
    <w:rsid w:val="00523333"/>
    <w:rsid w:val="00523532"/>
    <w:rsid w:val="005236E3"/>
    <w:rsid w:val="00523860"/>
    <w:rsid w:val="0052396C"/>
    <w:rsid w:val="00523A8A"/>
    <w:rsid w:val="005244CF"/>
    <w:rsid w:val="00524690"/>
    <w:rsid w:val="0052472B"/>
    <w:rsid w:val="005248BE"/>
    <w:rsid w:val="005249F9"/>
    <w:rsid w:val="00524A8A"/>
    <w:rsid w:val="00524DC9"/>
    <w:rsid w:val="0052605D"/>
    <w:rsid w:val="00526238"/>
    <w:rsid w:val="00526D61"/>
    <w:rsid w:val="00527B8A"/>
    <w:rsid w:val="0053036B"/>
    <w:rsid w:val="0053063D"/>
    <w:rsid w:val="00530A0C"/>
    <w:rsid w:val="00530DD5"/>
    <w:rsid w:val="00531806"/>
    <w:rsid w:val="00532810"/>
    <w:rsid w:val="005328A1"/>
    <w:rsid w:val="00532A25"/>
    <w:rsid w:val="00533007"/>
    <w:rsid w:val="0053306F"/>
    <w:rsid w:val="00533F8D"/>
    <w:rsid w:val="00534386"/>
    <w:rsid w:val="00534F12"/>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666"/>
    <w:rsid w:val="005509D9"/>
    <w:rsid w:val="00550BCF"/>
    <w:rsid w:val="00550EFD"/>
    <w:rsid w:val="00551277"/>
    <w:rsid w:val="00551287"/>
    <w:rsid w:val="00551590"/>
    <w:rsid w:val="00551AFB"/>
    <w:rsid w:val="00552AF4"/>
    <w:rsid w:val="00552B34"/>
    <w:rsid w:val="00552B59"/>
    <w:rsid w:val="00552BA0"/>
    <w:rsid w:val="00552C31"/>
    <w:rsid w:val="00553138"/>
    <w:rsid w:val="005532A7"/>
    <w:rsid w:val="00553590"/>
    <w:rsid w:val="005539CB"/>
    <w:rsid w:val="00553E7E"/>
    <w:rsid w:val="0055414E"/>
    <w:rsid w:val="00554352"/>
    <w:rsid w:val="00554433"/>
    <w:rsid w:val="0055523A"/>
    <w:rsid w:val="005552B7"/>
    <w:rsid w:val="005557B8"/>
    <w:rsid w:val="00555DBC"/>
    <w:rsid w:val="00556357"/>
    <w:rsid w:val="00556861"/>
    <w:rsid w:val="0055698D"/>
    <w:rsid w:val="00556A82"/>
    <w:rsid w:val="00556AC1"/>
    <w:rsid w:val="00556B44"/>
    <w:rsid w:val="00556DF1"/>
    <w:rsid w:val="0055709D"/>
    <w:rsid w:val="005571DB"/>
    <w:rsid w:val="00557837"/>
    <w:rsid w:val="005600DA"/>
    <w:rsid w:val="005603D4"/>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1FD4"/>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7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E2"/>
    <w:rsid w:val="00591D0F"/>
    <w:rsid w:val="005922EF"/>
    <w:rsid w:val="00592397"/>
    <w:rsid w:val="00592DCB"/>
    <w:rsid w:val="005934BB"/>
    <w:rsid w:val="00593697"/>
    <w:rsid w:val="00593835"/>
    <w:rsid w:val="00593C4C"/>
    <w:rsid w:val="00594504"/>
    <w:rsid w:val="0059466C"/>
    <w:rsid w:val="00594FBF"/>
    <w:rsid w:val="00595116"/>
    <w:rsid w:val="00595144"/>
    <w:rsid w:val="0059519F"/>
    <w:rsid w:val="005954A3"/>
    <w:rsid w:val="0059586F"/>
    <w:rsid w:val="005958C6"/>
    <w:rsid w:val="00595CE1"/>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3BBE"/>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91"/>
    <w:rsid w:val="005C21DD"/>
    <w:rsid w:val="005C23AA"/>
    <w:rsid w:val="005C24D7"/>
    <w:rsid w:val="005C2CA6"/>
    <w:rsid w:val="005C2DCF"/>
    <w:rsid w:val="005C36A8"/>
    <w:rsid w:val="005C3779"/>
    <w:rsid w:val="005C37ED"/>
    <w:rsid w:val="005C4031"/>
    <w:rsid w:val="005C4BBD"/>
    <w:rsid w:val="005C4C01"/>
    <w:rsid w:val="005C5801"/>
    <w:rsid w:val="005C5A0A"/>
    <w:rsid w:val="005C5F63"/>
    <w:rsid w:val="005C5F70"/>
    <w:rsid w:val="005C6867"/>
    <w:rsid w:val="005C715E"/>
    <w:rsid w:val="005C73C3"/>
    <w:rsid w:val="005C747B"/>
    <w:rsid w:val="005C7773"/>
    <w:rsid w:val="005C78FE"/>
    <w:rsid w:val="005C7C86"/>
    <w:rsid w:val="005C7D57"/>
    <w:rsid w:val="005C7FA1"/>
    <w:rsid w:val="005D016D"/>
    <w:rsid w:val="005D02B4"/>
    <w:rsid w:val="005D03F4"/>
    <w:rsid w:val="005D0DA5"/>
    <w:rsid w:val="005D1158"/>
    <w:rsid w:val="005D1468"/>
    <w:rsid w:val="005D14A6"/>
    <w:rsid w:val="005D1EFF"/>
    <w:rsid w:val="005D2053"/>
    <w:rsid w:val="005D2266"/>
    <w:rsid w:val="005D25B4"/>
    <w:rsid w:val="005D27A8"/>
    <w:rsid w:val="005D28F4"/>
    <w:rsid w:val="005D2B35"/>
    <w:rsid w:val="005D2D69"/>
    <w:rsid w:val="005D33D8"/>
    <w:rsid w:val="005D35CF"/>
    <w:rsid w:val="005D4053"/>
    <w:rsid w:val="005D41A1"/>
    <w:rsid w:val="005D4315"/>
    <w:rsid w:val="005D4557"/>
    <w:rsid w:val="005D4D58"/>
    <w:rsid w:val="005D5912"/>
    <w:rsid w:val="005D59F0"/>
    <w:rsid w:val="005D6264"/>
    <w:rsid w:val="005D629D"/>
    <w:rsid w:val="005D72FA"/>
    <w:rsid w:val="005D7CFB"/>
    <w:rsid w:val="005D7D34"/>
    <w:rsid w:val="005D7E7E"/>
    <w:rsid w:val="005E0026"/>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0F4D"/>
    <w:rsid w:val="0060138B"/>
    <w:rsid w:val="00601825"/>
    <w:rsid w:val="00601CD4"/>
    <w:rsid w:val="006020F3"/>
    <w:rsid w:val="00602345"/>
    <w:rsid w:val="00602912"/>
    <w:rsid w:val="00602CF0"/>
    <w:rsid w:val="006035C4"/>
    <w:rsid w:val="0060421A"/>
    <w:rsid w:val="006043B7"/>
    <w:rsid w:val="00604562"/>
    <w:rsid w:val="00604DCD"/>
    <w:rsid w:val="00605135"/>
    <w:rsid w:val="0060586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1E8"/>
    <w:rsid w:val="006122BA"/>
    <w:rsid w:val="0061273D"/>
    <w:rsid w:val="006132A4"/>
    <w:rsid w:val="0061356F"/>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CA"/>
    <w:rsid w:val="0062216E"/>
    <w:rsid w:val="00622A3F"/>
    <w:rsid w:val="00622D54"/>
    <w:rsid w:val="00622DB9"/>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E91"/>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C50"/>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5CF8"/>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3F2"/>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3C03"/>
    <w:rsid w:val="00674725"/>
    <w:rsid w:val="0067532D"/>
    <w:rsid w:val="00675522"/>
    <w:rsid w:val="006757AA"/>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E"/>
    <w:rsid w:val="006908AB"/>
    <w:rsid w:val="00690906"/>
    <w:rsid w:val="00690F8C"/>
    <w:rsid w:val="00691080"/>
    <w:rsid w:val="00691E1B"/>
    <w:rsid w:val="00692025"/>
    <w:rsid w:val="00692350"/>
    <w:rsid w:val="00692391"/>
    <w:rsid w:val="00692466"/>
    <w:rsid w:val="006925FB"/>
    <w:rsid w:val="0069261E"/>
    <w:rsid w:val="006932FE"/>
    <w:rsid w:val="00693A6F"/>
    <w:rsid w:val="00693AD3"/>
    <w:rsid w:val="00693D2E"/>
    <w:rsid w:val="0069403C"/>
    <w:rsid w:val="00694616"/>
    <w:rsid w:val="00695391"/>
    <w:rsid w:val="00695A9D"/>
    <w:rsid w:val="00695B72"/>
    <w:rsid w:val="00696477"/>
    <w:rsid w:val="006966F6"/>
    <w:rsid w:val="00696839"/>
    <w:rsid w:val="00696ACC"/>
    <w:rsid w:val="00697076"/>
    <w:rsid w:val="006977F4"/>
    <w:rsid w:val="006A0A37"/>
    <w:rsid w:val="006A0A42"/>
    <w:rsid w:val="006A0BA4"/>
    <w:rsid w:val="006A0E10"/>
    <w:rsid w:val="006A1183"/>
    <w:rsid w:val="006A14CB"/>
    <w:rsid w:val="006A14E9"/>
    <w:rsid w:val="006A180A"/>
    <w:rsid w:val="006A1E30"/>
    <w:rsid w:val="006A2152"/>
    <w:rsid w:val="006A2AB4"/>
    <w:rsid w:val="006A2CD5"/>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1169"/>
    <w:rsid w:val="006C12C0"/>
    <w:rsid w:val="006C14FF"/>
    <w:rsid w:val="006C1527"/>
    <w:rsid w:val="006C19FF"/>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CD3"/>
    <w:rsid w:val="006D33A8"/>
    <w:rsid w:val="006D34EE"/>
    <w:rsid w:val="006D37A1"/>
    <w:rsid w:val="006D477B"/>
    <w:rsid w:val="006D4BFC"/>
    <w:rsid w:val="006D5059"/>
    <w:rsid w:val="006D5114"/>
    <w:rsid w:val="006D574C"/>
    <w:rsid w:val="006D5CBC"/>
    <w:rsid w:val="006D60A7"/>
    <w:rsid w:val="006D66D2"/>
    <w:rsid w:val="006D6954"/>
    <w:rsid w:val="006D6AA1"/>
    <w:rsid w:val="006D6B37"/>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BB1"/>
    <w:rsid w:val="006E3F2D"/>
    <w:rsid w:val="006E43EB"/>
    <w:rsid w:val="006E4E95"/>
    <w:rsid w:val="006E5313"/>
    <w:rsid w:val="006E5E1C"/>
    <w:rsid w:val="006E5FC3"/>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809"/>
    <w:rsid w:val="00710883"/>
    <w:rsid w:val="007108AE"/>
    <w:rsid w:val="00710CB8"/>
    <w:rsid w:val="00710D60"/>
    <w:rsid w:val="007110E1"/>
    <w:rsid w:val="00711C27"/>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D71"/>
    <w:rsid w:val="00722EB1"/>
    <w:rsid w:val="00722FAD"/>
    <w:rsid w:val="00723404"/>
    <w:rsid w:val="007237A5"/>
    <w:rsid w:val="00723CE7"/>
    <w:rsid w:val="00723E78"/>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5A20"/>
    <w:rsid w:val="00756158"/>
    <w:rsid w:val="007561BD"/>
    <w:rsid w:val="007561DE"/>
    <w:rsid w:val="007575F0"/>
    <w:rsid w:val="00757A7D"/>
    <w:rsid w:val="00757F77"/>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32"/>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265B"/>
    <w:rsid w:val="00773405"/>
    <w:rsid w:val="0077345E"/>
    <w:rsid w:val="00773E34"/>
    <w:rsid w:val="00774257"/>
    <w:rsid w:val="0077449D"/>
    <w:rsid w:val="007746F7"/>
    <w:rsid w:val="00774796"/>
    <w:rsid w:val="00774B7B"/>
    <w:rsid w:val="007752C9"/>
    <w:rsid w:val="007756C9"/>
    <w:rsid w:val="0077575F"/>
    <w:rsid w:val="00775986"/>
    <w:rsid w:val="00776349"/>
    <w:rsid w:val="00776957"/>
    <w:rsid w:val="00776F7C"/>
    <w:rsid w:val="00777701"/>
    <w:rsid w:val="00777ABA"/>
    <w:rsid w:val="00777ECD"/>
    <w:rsid w:val="00780962"/>
    <w:rsid w:val="007809F7"/>
    <w:rsid w:val="00780A0E"/>
    <w:rsid w:val="00780A3F"/>
    <w:rsid w:val="00780A75"/>
    <w:rsid w:val="00780CF0"/>
    <w:rsid w:val="00781610"/>
    <w:rsid w:val="00781CE2"/>
    <w:rsid w:val="0078221B"/>
    <w:rsid w:val="007829AB"/>
    <w:rsid w:val="00782F0F"/>
    <w:rsid w:val="007831F9"/>
    <w:rsid w:val="00783399"/>
    <w:rsid w:val="00783AF6"/>
    <w:rsid w:val="00783B65"/>
    <w:rsid w:val="007844F4"/>
    <w:rsid w:val="00784915"/>
    <w:rsid w:val="00784DEB"/>
    <w:rsid w:val="0078523F"/>
    <w:rsid w:val="007854B0"/>
    <w:rsid w:val="00786037"/>
    <w:rsid w:val="00786669"/>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FE"/>
    <w:rsid w:val="0079393F"/>
    <w:rsid w:val="00793F1A"/>
    <w:rsid w:val="007943A3"/>
    <w:rsid w:val="00794906"/>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CE7"/>
    <w:rsid w:val="007A3EDF"/>
    <w:rsid w:val="007A4111"/>
    <w:rsid w:val="007A4503"/>
    <w:rsid w:val="007A46BF"/>
    <w:rsid w:val="007A489E"/>
    <w:rsid w:val="007A4A53"/>
    <w:rsid w:val="007A5255"/>
    <w:rsid w:val="007A6DFB"/>
    <w:rsid w:val="007A70CF"/>
    <w:rsid w:val="007A7184"/>
    <w:rsid w:val="007A74A5"/>
    <w:rsid w:val="007B00EF"/>
    <w:rsid w:val="007B01C1"/>
    <w:rsid w:val="007B073F"/>
    <w:rsid w:val="007B08A3"/>
    <w:rsid w:val="007B0F24"/>
    <w:rsid w:val="007B0F8E"/>
    <w:rsid w:val="007B0FD5"/>
    <w:rsid w:val="007B12C8"/>
    <w:rsid w:val="007B1375"/>
    <w:rsid w:val="007B1925"/>
    <w:rsid w:val="007B1ADA"/>
    <w:rsid w:val="007B1C1F"/>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3D9"/>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9D6"/>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4A08"/>
    <w:rsid w:val="007E4CC0"/>
    <w:rsid w:val="007E505C"/>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E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5C7"/>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46B"/>
    <w:rsid w:val="00815495"/>
    <w:rsid w:val="0081559C"/>
    <w:rsid w:val="00815CBF"/>
    <w:rsid w:val="00815CE4"/>
    <w:rsid w:val="008160DA"/>
    <w:rsid w:val="00816D1A"/>
    <w:rsid w:val="00816D83"/>
    <w:rsid w:val="008173CC"/>
    <w:rsid w:val="008176F8"/>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EBE"/>
    <w:rsid w:val="00826050"/>
    <w:rsid w:val="008264BE"/>
    <w:rsid w:val="008265D6"/>
    <w:rsid w:val="0082666C"/>
    <w:rsid w:val="00826672"/>
    <w:rsid w:val="008273C7"/>
    <w:rsid w:val="0082783D"/>
    <w:rsid w:val="00827AC8"/>
    <w:rsid w:val="00827BAB"/>
    <w:rsid w:val="00827C03"/>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F1"/>
    <w:rsid w:val="00836C91"/>
    <w:rsid w:val="008373FE"/>
    <w:rsid w:val="008376E0"/>
    <w:rsid w:val="00837986"/>
    <w:rsid w:val="008379DF"/>
    <w:rsid w:val="00837ACA"/>
    <w:rsid w:val="00837C53"/>
    <w:rsid w:val="00837F1B"/>
    <w:rsid w:val="0084020C"/>
    <w:rsid w:val="008406F5"/>
    <w:rsid w:val="00841030"/>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09B"/>
    <w:rsid w:val="00850232"/>
    <w:rsid w:val="0085026F"/>
    <w:rsid w:val="00850842"/>
    <w:rsid w:val="008509A1"/>
    <w:rsid w:val="008509B5"/>
    <w:rsid w:val="00851478"/>
    <w:rsid w:val="008517FB"/>
    <w:rsid w:val="00851F91"/>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BD9"/>
    <w:rsid w:val="00864C18"/>
    <w:rsid w:val="00864CC5"/>
    <w:rsid w:val="00864ED6"/>
    <w:rsid w:val="00865296"/>
    <w:rsid w:val="0086547D"/>
    <w:rsid w:val="00865521"/>
    <w:rsid w:val="00865B0F"/>
    <w:rsid w:val="00866B79"/>
    <w:rsid w:val="00867246"/>
    <w:rsid w:val="00867390"/>
    <w:rsid w:val="008674B2"/>
    <w:rsid w:val="00867CBD"/>
    <w:rsid w:val="0087027B"/>
    <w:rsid w:val="0087099F"/>
    <w:rsid w:val="008713E8"/>
    <w:rsid w:val="00871CA1"/>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C66"/>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47"/>
    <w:rsid w:val="00890766"/>
    <w:rsid w:val="008907E5"/>
    <w:rsid w:val="00890FF7"/>
    <w:rsid w:val="00891090"/>
    <w:rsid w:val="00891208"/>
    <w:rsid w:val="0089157C"/>
    <w:rsid w:val="0089174B"/>
    <w:rsid w:val="008921BB"/>
    <w:rsid w:val="00892FA7"/>
    <w:rsid w:val="00892FAA"/>
    <w:rsid w:val="008930F8"/>
    <w:rsid w:val="00893213"/>
    <w:rsid w:val="00893484"/>
    <w:rsid w:val="00893D85"/>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6BB"/>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5E6B"/>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BB5"/>
    <w:rsid w:val="008B246F"/>
    <w:rsid w:val="008B259A"/>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B94"/>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A25"/>
    <w:rsid w:val="008D208B"/>
    <w:rsid w:val="008D2494"/>
    <w:rsid w:val="008D24AA"/>
    <w:rsid w:val="008D2736"/>
    <w:rsid w:val="008D2B9A"/>
    <w:rsid w:val="008D2C78"/>
    <w:rsid w:val="008D2CB4"/>
    <w:rsid w:val="008D3D7C"/>
    <w:rsid w:val="008D3D7E"/>
    <w:rsid w:val="008D4F1F"/>
    <w:rsid w:val="008D563E"/>
    <w:rsid w:val="008D56B2"/>
    <w:rsid w:val="008D5AB6"/>
    <w:rsid w:val="008D5E4D"/>
    <w:rsid w:val="008D618A"/>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339"/>
    <w:rsid w:val="008E35EA"/>
    <w:rsid w:val="008E3727"/>
    <w:rsid w:val="008E3D5E"/>
    <w:rsid w:val="008E466C"/>
    <w:rsid w:val="008E4B03"/>
    <w:rsid w:val="008E4DCC"/>
    <w:rsid w:val="008E57AA"/>
    <w:rsid w:val="008E5A4E"/>
    <w:rsid w:val="008E5A59"/>
    <w:rsid w:val="008E5B96"/>
    <w:rsid w:val="008E5D89"/>
    <w:rsid w:val="008E67FB"/>
    <w:rsid w:val="008E6B92"/>
    <w:rsid w:val="008E721E"/>
    <w:rsid w:val="008E74AF"/>
    <w:rsid w:val="008E7B38"/>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E14"/>
    <w:rsid w:val="008F4EF9"/>
    <w:rsid w:val="008F5083"/>
    <w:rsid w:val="008F5567"/>
    <w:rsid w:val="008F5BF4"/>
    <w:rsid w:val="008F5CA1"/>
    <w:rsid w:val="008F5E92"/>
    <w:rsid w:val="008F6504"/>
    <w:rsid w:val="008F67F6"/>
    <w:rsid w:val="008F6A25"/>
    <w:rsid w:val="008F6EFC"/>
    <w:rsid w:val="008F7386"/>
    <w:rsid w:val="008F780A"/>
    <w:rsid w:val="008F7FB5"/>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6F9"/>
    <w:rsid w:val="0090599B"/>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511"/>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34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6EA1"/>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412"/>
    <w:rsid w:val="00943529"/>
    <w:rsid w:val="009435A0"/>
    <w:rsid w:val="0094385A"/>
    <w:rsid w:val="00943C99"/>
    <w:rsid w:val="00943C9C"/>
    <w:rsid w:val="00944C9D"/>
    <w:rsid w:val="00945241"/>
    <w:rsid w:val="00945422"/>
    <w:rsid w:val="009456BF"/>
    <w:rsid w:val="00945986"/>
    <w:rsid w:val="00945E18"/>
    <w:rsid w:val="00945F24"/>
    <w:rsid w:val="0094603F"/>
    <w:rsid w:val="0094665D"/>
    <w:rsid w:val="009466A0"/>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A9"/>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1D9E"/>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5F62"/>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3A95"/>
    <w:rsid w:val="00974429"/>
    <w:rsid w:val="009748F6"/>
    <w:rsid w:val="00975D45"/>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25B"/>
    <w:rsid w:val="0099197C"/>
    <w:rsid w:val="00991BBA"/>
    <w:rsid w:val="00991D62"/>
    <w:rsid w:val="009927B9"/>
    <w:rsid w:val="00993BFF"/>
    <w:rsid w:val="00993E44"/>
    <w:rsid w:val="00993F15"/>
    <w:rsid w:val="0099404D"/>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C7C"/>
    <w:rsid w:val="009A0D17"/>
    <w:rsid w:val="009A0E79"/>
    <w:rsid w:val="009A0FF8"/>
    <w:rsid w:val="009A13DB"/>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5A"/>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C5D"/>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F60"/>
    <w:rsid w:val="009C2764"/>
    <w:rsid w:val="009C2E0C"/>
    <w:rsid w:val="009C3169"/>
    <w:rsid w:val="009C3193"/>
    <w:rsid w:val="009C36B8"/>
    <w:rsid w:val="009C3C98"/>
    <w:rsid w:val="009C3CBE"/>
    <w:rsid w:val="009C4170"/>
    <w:rsid w:val="009C4187"/>
    <w:rsid w:val="009C43E9"/>
    <w:rsid w:val="009C44E2"/>
    <w:rsid w:val="009C46A1"/>
    <w:rsid w:val="009C5053"/>
    <w:rsid w:val="009C5129"/>
    <w:rsid w:val="009C51C7"/>
    <w:rsid w:val="009C52E5"/>
    <w:rsid w:val="009C5587"/>
    <w:rsid w:val="009C5BE5"/>
    <w:rsid w:val="009C6070"/>
    <w:rsid w:val="009C63C6"/>
    <w:rsid w:val="009C6738"/>
    <w:rsid w:val="009C6B32"/>
    <w:rsid w:val="009C6E5E"/>
    <w:rsid w:val="009C71FF"/>
    <w:rsid w:val="009C7A9C"/>
    <w:rsid w:val="009D0089"/>
    <w:rsid w:val="009D0257"/>
    <w:rsid w:val="009D0295"/>
    <w:rsid w:val="009D0597"/>
    <w:rsid w:val="009D085E"/>
    <w:rsid w:val="009D123D"/>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27E"/>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822"/>
    <w:rsid w:val="009F5906"/>
    <w:rsid w:val="009F634D"/>
    <w:rsid w:val="009F6403"/>
    <w:rsid w:val="009F667F"/>
    <w:rsid w:val="009F6E61"/>
    <w:rsid w:val="009F6FF4"/>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201E"/>
    <w:rsid w:val="00A023EC"/>
    <w:rsid w:val="00A026B8"/>
    <w:rsid w:val="00A0277C"/>
    <w:rsid w:val="00A0332C"/>
    <w:rsid w:val="00A03529"/>
    <w:rsid w:val="00A03905"/>
    <w:rsid w:val="00A0414F"/>
    <w:rsid w:val="00A0422A"/>
    <w:rsid w:val="00A04347"/>
    <w:rsid w:val="00A04391"/>
    <w:rsid w:val="00A04A68"/>
    <w:rsid w:val="00A04E63"/>
    <w:rsid w:val="00A05266"/>
    <w:rsid w:val="00A05FC5"/>
    <w:rsid w:val="00A06069"/>
    <w:rsid w:val="00A0606A"/>
    <w:rsid w:val="00A0623A"/>
    <w:rsid w:val="00A06378"/>
    <w:rsid w:val="00A074F7"/>
    <w:rsid w:val="00A07611"/>
    <w:rsid w:val="00A07655"/>
    <w:rsid w:val="00A078EE"/>
    <w:rsid w:val="00A0796E"/>
    <w:rsid w:val="00A07D03"/>
    <w:rsid w:val="00A10758"/>
    <w:rsid w:val="00A107C8"/>
    <w:rsid w:val="00A10A37"/>
    <w:rsid w:val="00A10AF5"/>
    <w:rsid w:val="00A10F5C"/>
    <w:rsid w:val="00A11317"/>
    <w:rsid w:val="00A113B9"/>
    <w:rsid w:val="00A114D9"/>
    <w:rsid w:val="00A11DEE"/>
    <w:rsid w:val="00A11E7C"/>
    <w:rsid w:val="00A120DF"/>
    <w:rsid w:val="00A1269E"/>
    <w:rsid w:val="00A126B4"/>
    <w:rsid w:val="00A1277C"/>
    <w:rsid w:val="00A129CC"/>
    <w:rsid w:val="00A12D77"/>
    <w:rsid w:val="00A12DE7"/>
    <w:rsid w:val="00A12E0E"/>
    <w:rsid w:val="00A13330"/>
    <w:rsid w:val="00A13A65"/>
    <w:rsid w:val="00A1456E"/>
    <w:rsid w:val="00A145BD"/>
    <w:rsid w:val="00A14A1B"/>
    <w:rsid w:val="00A14C8B"/>
    <w:rsid w:val="00A14C9F"/>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6F89"/>
    <w:rsid w:val="00A179E5"/>
    <w:rsid w:val="00A17F9B"/>
    <w:rsid w:val="00A17FEC"/>
    <w:rsid w:val="00A20B98"/>
    <w:rsid w:val="00A2124D"/>
    <w:rsid w:val="00A21BB9"/>
    <w:rsid w:val="00A21CB1"/>
    <w:rsid w:val="00A22096"/>
    <w:rsid w:val="00A22431"/>
    <w:rsid w:val="00A22596"/>
    <w:rsid w:val="00A227AB"/>
    <w:rsid w:val="00A22C09"/>
    <w:rsid w:val="00A22C69"/>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6C4"/>
    <w:rsid w:val="00A418DB"/>
    <w:rsid w:val="00A41FFB"/>
    <w:rsid w:val="00A4271E"/>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6E6"/>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194"/>
    <w:rsid w:val="00A6059B"/>
    <w:rsid w:val="00A60FFC"/>
    <w:rsid w:val="00A610EE"/>
    <w:rsid w:val="00A61415"/>
    <w:rsid w:val="00A61459"/>
    <w:rsid w:val="00A6162C"/>
    <w:rsid w:val="00A6182A"/>
    <w:rsid w:val="00A61BE5"/>
    <w:rsid w:val="00A61FC2"/>
    <w:rsid w:val="00A6224A"/>
    <w:rsid w:val="00A6265D"/>
    <w:rsid w:val="00A62849"/>
    <w:rsid w:val="00A6312B"/>
    <w:rsid w:val="00A632A6"/>
    <w:rsid w:val="00A63408"/>
    <w:rsid w:val="00A63623"/>
    <w:rsid w:val="00A63C4F"/>
    <w:rsid w:val="00A63FF0"/>
    <w:rsid w:val="00A649AF"/>
    <w:rsid w:val="00A64AA9"/>
    <w:rsid w:val="00A64EB0"/>
    <w:rsid w:val="00A65311"/>
    <w:rsid w:val="00A658E6"/>
    <w:rsid w:val="00A65F2C"/>
    <w:rsid w:val="00A66082"/>
    <w:rsid w:val="00A661A2"/>
    <w:rsid w:val="00A66385"/>
    <w:rsid w:val="00A666C7"/>
    <w:rsid w:val="00A66823"/>
    <w:rsid w:val="00A66964"/>
    <w:rsid w:val="00A66B1D"/>
    <w:rsid w:val="00A66C10"/>
    <w:rsid w:val="00A66CB9"/>
    <w:rsid w:val="00A66D7B"/>
    <w:rsid w:val="00A67114"/>
    <w:rsid w:val="00A6737B"/>
    <w:rsid w:val="00A67422"/>
    <w:rsid w:val="00A676CF"/>
    <w:rsid w:val="00A677DB"/>
    <w:rsid w:val="00A67817"/>
    <w:rsid w:val="00A67975"/>
    <w:rsid w:val="00A67A20"/>
    <w:rsid w:val="00A67C25"/>
    <w:rsid w:val="00A70050"/>
    <w:rsid w:val="00A703C4"/>
    <w:rsid w:val="00A704B9"/>
    <w:rsid w:val="00A708B7"/>
    <w:rsid w:val="00A70B94"/>
    <w:rsid w:val="00A710AA"/>
    <w:rsid w:val="00A712FC"/>
    <w:rsid w:val="00A716EC"/>
    <w:rsid w:val="00A71A0D"/>
    <w:rsid w:val="00A724FB"/>
    <w:rsid w:val="00A72A8F"/>
    <w:rsid w:val="00A72ABF"/>
    <w:rsid w:val="00A72ADE"/>
    <w:rsid w:val="00A72BC0"/>
    <w:rsid w:val="00A73085"/>
    <w:rsid w:val="00A73316"/>
    <w:rsid w:val="00A73382"/>
    <w:rsid w:val="00A73AF8"/>
    <w:rsid w:val="00A73CA5"/>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633"/>
    <w:rsid w:val="00A85836"/>
    <w:rsid w:val="00A85ECC"/>
    <w:rsid w:val="00A8633D"/>
    <w:rsid w:val="00A86386"/>
    <w:rsid w:val="00A863D9"/>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3A8"/>
    <w:rsid w:val="00A9465A"/>
    <w:rsid w:val="00A94BF5"/>
    <w:rsid w:val="00A94DDA"/>
    <w:rsid w:val="00A94E1E"/>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9B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B1"/>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EFE"/>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B97"/>
    <w:rsid w:val="00AF5C73"/>
    <w:rsid w:val="00AF5F39"/>
    <w:rsid w:val="00AF6169"/>
    <w:rsid w:val="00AF652B"/>
    <w:rsid w:val="00AF6645"/>
    <w:rsid w:val="00AF680D"/>
    <w:rsid w:val="00AF6D88"/>
    <w:rsid w:val="00AF7469"/>
    <w:rsid w:val="00AF7477"/>
    <w:rsid w:val="00AF77BB"/>
    <w:rsid w:val="00AF7ACB"/>
    <w:rsid w:val="00B00058"/>
    <w:rsid w:val="00B00073"/>
    <w:rsid w:val="00B0009D"/>
    <w:rsid w:val="00B00B45"/>
    <w:rsid w:val="00B00DAF"/>
    <w:rsid w:val="00B00E53"/>
    <w:rsid w:val="00B01917"/>
    <w:rsid w:val="00B01DBD"/>
    <w:rsid w:val="00B01EB5"/>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DB2"/>
    <w:rsid w:val="00B40EA0"/>
    <w:rsid w:val="00B41075"/>
    <w:rsid w:val="00B41A60"/>
    <w:rsid w:val="00B41DBE"/>
    <w:rsid w:val="00B421EA"/>
    <w:rsid w:val="00B4269A"/>
    <w:rsid w:val="00B42B12"/>
    <w:rsid w:val="00B42BA8"/>
    <w:rsid w:val="00B432ED"/>
    <w:rsid w:val="00B43355"/>
    <w:rsid w:val="00B43363"/>
    <w:rsid w:val="00B43563"/>
    <w:rsid w:val="00B43712"/>
    <w:rsid w:val="00B43822"/>
    <w:rsid w:val="00B439D1"/>
    <w:rsid w:val="00B443E8"/>
    <w:rsid w:val="00B44532"/>
    <w:rsid w:val="00B447A6"/>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C88"/>
    <w:rsid w:val="00B47DAE"/>
    <w:rsid w:val="00B50008"/>
    <w:rsid w:val="00B5007E"/>
    <w:rsid w:val="00B500A8"/>
    <w:rsid w:val="00B503B0"/>
    <w:rsid w:val="00B50CED"/>
    <w:rsid w:val="00B512A3"/>
    <w:rsid w:val="00B5141A"/>
    <w:rsid w:val="00B51997"/>
    <w:rsid w:val="00B52476"/>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8FB"/>
    <w:rsid w:val="00B71A75"/>
    <w:rsid w:val="00B71C38"/>
    <w:rsid w:val="00B722F4"/>
    <w:rsid w:val="00B72401"/>
    <w:rsid w:val="00B724DC"/>
    <w:rsid w:val="00B727F9"/>
    <w:rsid w:val="00B729E7"/>
    <w:rsid w:val="00B73095"/>
    <w:rsid w:val="00B733E5"/>
    <w:rsid w:val="00B73AB1"/>
    <w:rsid w:val="00B73B33"/>
    <w:rsid w:val="00B7428D"/>
    <w:rsid w:val="00B7470D"/>
    <w:rsid w:val="00B7499C"/>
    <w:rsid w:val="00B74A97"/>
    <w:rsid w:val="00B74B02"/>
    <w:rsid w:val="00B74CE1"/>
    <w:rsid w:val="00B75362"/>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8F5"/>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BBC"/>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B8E"/>
    <w:rsid w:val="00BB5ED1"/>
    <w:rsid w:val="00BB5FDB"/>
    <w:rsid w:val="00BB662E"/>
    <w:rsid w:val="00BB669D"/>
    <w:rsid w:val="00BC01BA"/>
    <w:rsid w:val="00BC0931"/>
    <w:rsid w:val="00BC0C4B"/>
    <w:rsid w:val="00BC0DE7"/>
    <w:rsid w:val="00BC10B7"/>
    <w:rsid w:val="00BC1942"/>
    <w:rsid w:val="00BC1B26"/>
    <w:rsid w:val="00BC2543"/>
    <w:rsid w:val="00BC2588"/>
    <w:rsid w:val="00BC2DEF"/>
    <w:rsid w:val="00BC2E6E"/>
    <w:rsid w:val="00BC2FB3"/>
    <w:rsid w:val="00BC3329"/>
    <w:rsid w:val="00BC33FD"/>
    <w:rsid w:val="00BC3573"/>
    <w:rsid w:val="00BC36EB"/>
    <w:rsid w:val="00BC3847"/>
    <w:rsid w:val="00BC391C"/>
    <w:rsid w:val="00BC3931"/>
    <w:rsid w:val="00BC3CE5"/>
    <w:rsid w:val="00BC456A"/>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6B4"/>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0B6"/>
    <w:rsid w:val="00BE32E9"/>
    <w:rsid w:val="00BE343C"/>
    <w:rsid w:val="00BE3513"/>
    <w:rsid w:val="00BE355B"/>
    <w:rsid w:val="00BE371A"/>
    <w:rsid w:val="00BE3CF8"/>
    <w:rsid w:val="00BE3EEE"/>
    <w:rsid w:val="00BE4407"/>
    <w:rsid w:val="00BE4649"/>
    <w:rsid w:val="00BE4F8B"/>
    <w:rsid w:val="00BE51BA"/>
    <w:rsid w:val="00BE5397"/>
    <w:rsid w:val="00BE548E"/>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6C"/>
    <w:rsid w:val="00BF44D8"/>
    <w:rsid w:val="00BF45C5"/>
    <w:rsid w:val="00BF4B30"/>
    <w:rsid w:val="00BF4F7D"/>
    <w:rsid w:val="00BF507F"/>
    <w:rsid w:val="00BF5197"/>
    <w:rsid w:val="00BF533C"/>
    <w:rsid w:val="00BF53B3"/>
    <w:rsid w:val="00BF5611"/>
    <w:rsid w:val="00BF5B4D"/>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015"/>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64D"/>
    <w:rsid w:val="00C10764"/>
    <w:rsid w:val="00C10A01"/>
    <w:rsid w:val="00C10CF9"/>
    <w:rsid w:val="00C1164B"/>
    <w:rsid w:val="00C116F2"/>
    <w:rsid w:val="00C11BBE"/>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80F"/>
    <w:rsid w:val="00C179AC"/>
    <w:rsid w:val="00C17E94"/>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5BD4"/>
    <w:rsid w:val="00C462CC"/>
    <w:rsid w:val="00C4661C"/>
    <w:rsid w:val="00C468C3"/>
    <w:rsid w:val="00C46A8D"/>
    <w:rsid w:val="00C46DC5"/>
    <w:rsid w:val="00C4706B"/>
    <w:rsid w:val="00C47A3F"/>
    <w:rsid w:val="00C47A6A"/>
    <w:rsid w:val="00C500B9"/>
    <w:rsid w:val="00C5019D"/>
    <w:rsid w:val="00C501B3"/>
    <w:rsid w:val="00C501E5"/>
    <w:rsid w:val="00C50A2B"/>
    <w:rsid w:val="00C50A40"/>
    <w:rsid w:val="00C50C70"/>
    <w:rsid w:val="00C50D34"/>
    <w:rsid w:val="00C51012"/>
    <w:rsid w:val="00C5149F"/>
    <w:rsid w:val="00C52752"/>
    <w:rsid w:val="00C527E1"/>
    <w:rsid w:val="00C529EA"/>
    <w:rsid w:val="00C52C13"/>
    <w:rsid w:val="00C52DDC"/>
    <w:rsid w:val="00C530E6"/>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664"/>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B4F"/>
    <w:rsid w:val="00C90CA0"/>
    <w:rsid w:val="00C91170"/>
    <w:rsid w:val="00C9129C"/>
    <w:rsid w:val="00C91CBA"/>
    <w:rsid w:val="00C91DCD"/>
    <w:rsid w:val="00C92007"/>
    <w:rsid w:val="00C92077"/>
    <w:rsid w:val="00C9211A"/>
    <w:rsid w:val="00C925FC"/>
    <w:rsid w:val="00C92607"/>
    <w:rsid w:val="00C9312D"/>
    <w:rsid w:val="00C93326"/>
    <w:rsid w:val="00C93483"/>
    <w:rsid w:val="00C9352C"/>
    <w:rsid w:val="00C93584"/>
    <w:rsid w:val="00C93717"/>
    <w:rsid w:val="00C9375F"/>
    <w:rsid w:val="00C93CCC"/>
    <w:rsid w:val="00C9434E"/>
    <w:rsid w:val="00C94B79"/>
    <w:rsid w:val="00C95003"/>
    <w:rsid w:val="00C9507D"/>
    <w:rsid w:val="00C95299"/>
    <w:rsid w:val="00C95784"/>
    <w:rsid w:val="00C95ACC"/>
    <w:rsid w:val="00C95EA9"/>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ADC"/>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7F2"/>
    <w:rsid w:val="00CB1C81"/>
    <w:rsid w:val="00CB207A"/>
    <w:rsid w:val="00CB20F4"/>
    <w:rsid w:val="00CB2441"/>
    <w:rsid w:val="00CB25A4"/>
    <w:rsid w:val="00CB2809"/>
    <w:rsid w:val="00CB2F70"/>
    <w:rsid w:val="00CB351D"/>
    <w:rsid w:val="00CB3AA7"/>
    <w:rsid w:val="00CB40ED"/>
    <w:rsid w:val="00CB4A4B"/>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DD6"/>
    <w:rsid w:val="00CC2F04"/>
    <w:rsid w:val="00CC2F19"/>
    <w:rsid w:val="00CC307E"/>
    <w:rsid w:val="00CC336E"/>
    <w:rsid w:val="00CC3503"/>
    <w:rsid w:val="00CC37B2"/>
    <w:rsid w:val="00CC3944"/>
    <w:rsid w:val="00CC3D3A"/>
    <w:rsid w:val="00CC3F4E"/>
    <w:rsid w:val="00CC4385"/>
    <w:rsid w:val="00CC44F0"/>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D5E"/>
    <w:rsid w:val="00CD5E24"/>
    <w:rsid w:val="00CD5F4D"/>
    <w:rsid w:val="00CD64AD"/>
    <w:rsid w:val="00CD67BA"/>
    <w:rsid w:val="00CD682A"/>
    <w:rsid w:val="00CD6AF6"/>
    <w:rsid w:val="00CD6E6D"/>
    <w:rsid w:val="00CD6F52"/>
    <w:rsid w:val="00CD7198"/>
    <w:rsid w:val="00CD757B"/>
    <w:rsid w:val="00CD757D"/>
    <w:rsid w:val="00CD79A7"/>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586"/>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DC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6B1"/>
    <w:rsid w:val="00D058EB"/>
    <w:rsid w:val="00D059CD"/>
    <w:rsid w:val="00D05E10"/>
    <w:rsid w:val="00D0603F"/>
    <w:rsid w:val="00D0651D"/>
    <w:rsid w:val="00D067C7"/>
    <w:rsid w:val="00D06B4C"/>
    <w:rsid w:val="00D06C6C"/>
    <w:rsid w:val="00D06DFF"/>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CFC"/>
    <w:rsid w:val="00D31E6A"/>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C71"/>
    <w:rsid w:val="00D41DC6"/>
    <w:rsid w:val="00D41F11"/>
    <w:rsid w:val="00D42474"/>
    <w:rsid w:val="00D42DBE"/>
    <w:rsid w:val="00D4370C"/>
    <w:rsid w:val="00D438C1"/>
    <w:rsid w:val="00D43E3E"/>
    <w:rsid w:val="00D4415E"/>
    <w:rsid w:val="00D44F16"/>
    <w:rsid w:val="00D44F56"/>
    <w:rsid w:val="00D44FE2"/>
    <w:rsid w:val="00D450D0"/>
    <w:rsid w:val="00D45579"/>
    <w:rsid w:val="00D45AFF"/>
    <w:rsid w:val="00D46037"/>
    <w:rsid w:val="00D46865"/>
    <w:rsid w:val="00D46891"/>
    <w:rsid w:val="00D46BE5"/>
    <w:rsid w:val="00D46F3D"/>
    <w:rsid w:val="00D471E8"/>
    <w:rsid w:val="00D476DC"/>
    <w:rsid w:val="00D477DC"/>
    <w:rsid w:val="00D47A05"/>
    <w:rsid w:val="00D47CF6"/>
    <w:rsid w:val="00D50273"/>
    <w:rsid w:val="00D506EC"/>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85A"/>
    <w:rsid w:val="00D57886"/>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466"/>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47AB"/>
    <w:rsid w:val="00D74A1A"/>
    <w:rsid w:val="00D7514C"/>
    <w:rsid w:val="00D75195"/>
    <w:rsid w:val="00D75667"/>
    <w:rsid w:val="00D7566F"/>
    <w:rsid w:val="00D758A8"/>
    <w:rsid w:val="00D765BF"/>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354D"/>
    <w:rsid w:val="00D84824"/>
    <w:rsid w:val="00D85165"/>
    <w:rsid w:val="00D85718"/>
    <w:rsid w:val="00D85785"/>
    <w:rsid w:val="00D8604C"/>
    <w:rsid w:val="00D860F2"/>
    <w:rsid w:val="00D866F5"/>
    <w:rsid w:val="00D86CC5"/>
    <w:rsid w:val="00D86EE6"/>
    <w:rsid w:val="00D87674"/>
    <w:rsid w:val="00D902CE"/>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9FE"/>
    <w:rsid w:val="00DA426C"/>
    <w:rsid w:val="00DA47DC"/>
    <w:rsid w:val="00DA545E"/>
    <w:rsid w:val="00DA56EB"/>
    <w:rsid w:val="00DA58D4"/>
    <w:rsid w:val="00DA5FEE"/>
    <w:rsid w:val="00DA6257"/>
    <w:rsid w:val="00DA6942"/>
    <w:rsid w:val="00DA6AD1"/>
    <w:rsid w:val="00DA6DB9"/>
    <w:rsid w:val="00DA70B1"/>
    <w:rsid w:val="00DA729D"/>
    <w:rsid w:val="00DA7CE8"/>
    <w:rsid w:val="00DB0117"/>
    <w:rsid w:val="00DB04AA"/>
    <w:rsid w:val="00DB04EC"/>
    <w:rsid w:val="00DB06A9"/>
    <w:rsid w:val="00DB0CE4"/>
    <w:rsid w:val="00DB0E4A"/>
    <w:rsid w:val="00DB151C"/>
    <w:rsid w:val="00DB1651"/>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5B3"/>
    <w:rsid w:val="00DC094A"/>
    <w:rsid w:val="00DC0B87"/>
    <w:rsid w:val="00DC0DD6"/>
    <w:rsid w:val="00DC108E"/>
    <w:rsid w:val="00DC16AB"/>
    <w:rsid w:val="00DC1702"/>
    <w:rsid w:val="00DC1F3D"/>
    <w:rsid w:val="00DC215A"/>
    <w:rsid w:val="00DC2D36"/>
    <w:rsid w:val="00DC3347"/>
    <w:rsid w:val="00DC3B3B"/>
    <w:rsid w:val="00DC3D00"/>
    <w:rsid w:val="00DC4FFD"/>
    <w:rsid w:val="00DC55A0"/>
    <w:rsid w:val="00DC5B38"/>
    <w:rsid w:val="00DC644B"/>
    <w:rsid w:val="00DC68E6"/>
    <w:rsid w:val="00DC6E8F"/>
    <w:rsid w:val="00DC7213"/>
    <w:rsid w:val="00DC7A62"/>
    <w:rsid w:val="00DC7C5B"/>
    <w:rsid w:val="00DC7E89"/>
    <w:rsid w:val="00DD0606"/>
    <w:rsid w:val="00DD0A58"/>
    <w:rsid w:val="00DD0B98"/>
    <w:rsid w:val="00DD0BCB"/>
    <w:rsid w:val="00DD0EF4"/>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B76"/>
    <w:rsid w:val="00DE0BCE"/>
    <w:rsid w:val="00DE1060"/>
    <w:rsid w:val="00DE10E1"/>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E7DBA"/>
    <w:rsid w:val="00DF0175"/>
    <w:rsid w:val="00DF0702"/>
    <w:rsid w:val="00DF14AE"/>
    <w:rsid w:val="00DF1724"/>
    <w:rsid w:val="00DF1884"/>
    <w:rsid w:val="00DF1F28"/>
    <w:rsid w:val="00DF2044"/>
    <w:rsid w:val="00DF2AB8"/>
    <w:rsid w:val="00DF2C89"/>
    <w:rsid w:val="00DF2E7F"/>
    <w:rsid w:val="00DF3B79"/>
    <w:rsid w:val="00DF3BB2"/>
    <w:rsid w:val="00DF3D17"/>
    <w:rsid w:val="00DF3D9B"/>
    <w:rsid w:val="00DF3DE8"/>
    <w:rsid w:val="00DF3EC0"/>
    <w:rsid w:val="00DF529C"/>
    <w:rsid w:val="00DF5B02"/>
    <w:rsid w:val="00DF5B49"/>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2D26"/>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5FD"/>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33A"/>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C7E"/>
    <w:rsid w:val="00E36F18"/>
    <w:rsid w:val="00E3758A"/>
    <w:rsid w:val="00E3760B"/>
    <w:rsid w:val="00E37615"/>
    <w:rsid w:val="00E3794E"/>
    <w:rsid w:val="00E37990"/>
    <w:rsid w:val="00E379A8"/>
    <w:rsid w:val="00E40384"/>
    <w:rsid w:val="00E40608"/>
    <w:rsid w:val="00E406D1"/>
    <w:rsid w:val="00E408F9"/>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4FC9"/>
    <w:rsid w:val="00E451AD"/>
    <w:rsid w:val="00E454D1"/>
    <w:rsid w:val="00E460E9"/>
    <w:rsid w:val="00E46763"/>
    <w:rsid w:val="00E46983"/>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A6E"/>
    <w:rsid w:val="00E57E56"/>
    <w:rsid w:val="00E57FF1"/>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70"/>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9FC"/>
    <w:rsid w:val="00E84A47"/>
    <w:rsid w:val="00E84EAA"/>
    <w:rsid w:val="00E84FB2"/>
    <w:rsid w:val="00E851E5"/>
    <w:rsid w:val="00E8573A"/>
    <w:rsid w:val="00E85C4C"/>
    <w:rsid w:val="00E85D03"/>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60A1"/>
    <w:rsid w:val="00E960CB"/>
    <w:rsid w:val="00E969A6"/>
    <w:rsid w:val="00E96CC3"/>
    <w:rsid w:val="00E96D73"/>
    <w:rsid w:val="00E971D0"/>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75AA"/>
    <w:rsid w:val="00EA77D0"/>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2A9"/>
    <w:rsid w:val="00EC046B"/>
    <w:rsid w:val="00EC09E3"/>
    <w:rsid w:val="00EC13A8"/>
    <w:rsid w:val="00EC1A53"/>
    <w:rsid w:val="00EC1E62"/>
    <w:rsid w:val="00EC251E"/>
    <w:rsid w:val="00EC27FA"/>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88D"/>
    <w:rsid w:val="00EC68B3"/>
    <w:rsid w:val="00EC6A6B"/>
    <w:rsid w:val="00EC7055"/>
    <w:rsid w:val="00EC72C1"/>
    <w:rsid w:val="00EC74C5"/>
    <w:rsid w:val="00EC752F"/>
    <w:rsid w:val="00EC7820"/>
    <w:rsid w:val="00ED0D0F"/>
    <w:rsid w:val="00ED1384"/>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5ED0"/>
    <w:rsid w:val="00ED64E9"/>
    <w:rsid w:val="00ED6F8C"/>
    <w:rsid w:val="00ED7248"/>
    <w:rsid w:val="00ED74E9"/>
    <w:rsid w:val="00ED7874"/>
    <w:rsid w:val="00ED7986"/>
    <w:rsid w:val="00ED79A7"/>
    <w:rsid w:val="00ED7C00"/>
    <w:rsid w:val="00EE02AB"/>
    <w:rsid w:val="00EE0458"/>
    <w:rsid w:val="00EE05BE"/>
    <w:rsid w:val="00EE1059"/>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B0D"/>
    <w:rsid w:val="00EE61AF"/>
    <w:rsid w:val="00EE66F2"/>
    <w:rsid w:val="00EE6D78"/>
    <w:rsid w:val="00EE7495"/>
    <w:rsid w:val="00EE75D2"/>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9F"/>
    <w:rsid w:val="00F00F07"/>
    <w:rsid w:val="00F00F71"/>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4F68"/>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9C1"/>
    <w:rsid w:val="00F14CE5"/>
    <w:rsid w:val="00F14FBE"/>
    <w:rsid w:val="00F151B2"/>
    <w:rsid w:val="00F1558E"/>
    <w:rsid w:val="00F15B8E"/>
    <w:rsid w:val="00F15DA5"/>
    <w:rsid w:val="00F16F01"/>
    <w:rsid w:val="00F174F3"/>
    <w:rsid w:val="00F177A2"/>
    <w:rsid w:val="00F179B9"/>
    <w:rsid w:val="00F17C8C"/>
    <w:rsid w:val="00F20060"/>
    <w:rsid w:val="00F200F2"/>
    <w:rsid w:val="00F208E2"/>
    <w:rsid w:val="00F20CF0"/>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4192"/>
    <w:rsid w:val="00F25189"/>
    <w:rsid w:val="00F2547B"/>
    <w:rsid w:val="00F254D8"/>
    <w:rsid w:val="00F2680D"/>
    <w:rsid w:val="00F26BD1"/>
    <w:rsid w:val="00F26E00"/>
    <w:rsid w:val="00F271FB"/>
    <w:rsid w:val="00F27F7F"/>
    <w:rsid w:val="00F3008C"/>
    <w:rsid w:val="00F30547"/>
    <w:rsid w:val="00F312BC"/>
    <w:rsid w:val="00F3143A"/>
    <w:rsid w:val="00F31AF2"/>
    <w:rsid w:val="00F32066"/>
    <w:rsid w:val="00F32194"/>
    <w:rsid w:val="00F3256C"/>
    <w:rsid w:val="00F325CA"/>
    <w:rsid w:val="00F32F34"/>
    <w:rsid w:val="00F336B7"/>
    <w:rsid w:val="00F33869"/>
    <w:rsid w:val="00F33B51"/>
    <w:rsid w:val="00F34DBC"/>
    <w:rsid w:val="00F352A1"/>
    <w:rsid w:val="00F352A5"/>
    <w:rsid w:val="00F35A5A"/>
    <w:rsid w:val="00F361F7"/>
    <w:rsid w:val="00F36310"/>
    <w:rsid w:val="00F37EBC"/>
    <w:rsid w:val="00F4052C"/>
    <w:rsid w:val="00F40D0B"/>
    <w:rsid w:val="00F40E60"/>
    <w:rsid w:val="00F41263"/>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6DC"/>
    <w:rsid w:val="00F43C67"/>
    <w:rsid w:val="00F4413E"/>
    <w:rsid w:val="00F446F9"/>
    <w:rsid w:val="00F4471F"/>
    <w:rsid w:val="00F44F23"/>
    <w:rsid w:val="00F45094"/>
    <w:rsid w:val="00F451C4"/>
    <w:rsid w:val="00F4531E"/>
    <w:rsid w:val="00F45433"/>
    <w:rsid w:val="00F4552E"/>
    <w:rsid w:val="00F4583E"/>
    <w:rsid w:val="00F458F1"/>
    <w:rsid w:val="00F45C17"/>
    <w:rsid w:val="00F45D01"/>
    <w:rsid w:val="00F45DDE"/>
    <w:rsid w:val="00F464B7"/>
    <w:rsid w:val="00F465D1"/>
    <w:rsid w:val="00F46831"/>
    <w:rsid w:val="00F46D86"/>
    <w:rsid w:val="00F46ECC"/>
    <w:rsid w:val="00F46F64"/>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1EE3"/>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67F64"/>
    <w:rsid w:val="00F708B2"/>
    <w:rsid w:val="00F70B2B"/>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10"/>
    <w:rsid w:val="00F77CF0"/>
    <w:rsid w:val="00F80143"/>
    <w:rsid w:val="00F801B8"/>
    <w:rsid w:val="00F8045C"/>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B57"/>
    <w:rsid w:val="00F95D7C"/>
    <w:rsid w:val="00F96029"/>
    <w:rsid w:val="00F968DD"/>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38E3"/>
    <w:rsid w:val="00FA3DAE"/>
    <w:rsid w:val="00FA490E"/>
    <w:rsid w:val="00FA547A"/>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0BA5"/>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B7DDE"/>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830"/>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D12"/>
    <w:rsid w:val="00FD5F10"/>
    <w:rsid w:val="00FD60C5"/>
    <w:rsid w:val="00FD6805"/>
    <w:rsid w:val="00FD6890"/>
    <w:rsid w:val="00FD6968"/>
    <w:rsid w:val="00FD72B4"/>
    <w:rsid w:val="00FD7375"/>
    <w:rsid w:val="00FD7BFB"/>
    <w:rsid w:val="00FD7F95"/>
    <w:rsid w:val="00FE0006"/>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 w:val="45680339"/>
    <w:rsid w:val="4C7406F3"/>
    <w:rsid w:val="57D818F7"/>
    <w:rsid w:val="79C04DA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next w:val="1"/>
    <w:link w:val="33"/>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en-US" w:bidi="ar-SA"/>
    </w:rPr>
  </w:style>
  <w:style w:type="paragraph" w:styleId="3">
    <w:name w:val="heading 2"/>
    <w:basedOn w:val="1"/>
    <w:next w:val="1"/>
    <w:qFormat/>
    <w:uiPriority w:val="0"/>
    <w:pPr>
      <w:keepNext/>
      <w:numPr>
        <w:ilvl w:val="1"/>
        <w:numId w:val="1"/>
      </w:numPr>
      <w:tabs>
        <w:tab w:val="left" w:pos="576"/>
        <w:tab w:val="clear" w:pos="1656"/>
      </w:tabs>
      <w:spacing w:before="240" w:after="240"/>
      <w:ind w:left="576"/>
      <w:outlineLvl w:val="1"/>
    </w:pPr>
    <w:rPr>
      <w:rFonts w:ascii="Arial" w:hAnsi="Arial" w:eastAsia="宋体" w:cs="Arial"/>
      <w:bCs/>
      <w:iCs/>
      <w:sz w:val="28"/>
      <w:szCs w:val="28"/>
      <w:lang w:val="en-US" w:eastAsia="zh-CN"/>
    </w:rPr>
  </w:style>
  <w:style w:type="paragraph" w:styleId="4">
    <w:name w:val="heading 3"/>
    <w:basedOn w:val="1"/>
    <w:next w:val="1"/>
    <w:qFormat/>
    <w:uiPriority w:val="0"/>
    <w:pPr>
      <w:keepNext/>
      <w:numPr>
        <w:ilvl w:val="2"/>
        <w:numId w:val="1"/>
      </w:numPr>
      <w:spacing w:before="240" w:after="60"/>
      <w:outlineLvl w:val="2"/>
    </w:pPr>
    <w:rPr>
      <w:rFonts w:cs="Arial"/>
      <w:b/>
      <w:bCs/>
      <w:sz w:val="24"/>
      <w:szCs w:val="26"/>
    </w:rPr>
  </w:style>
  <w:style w:type="paragraph" w:styleId="5">
    <w:name w:val="heading 4"/>
    <w:basedOn w:val="1"/>
    <w:next w:val="1"/>
    <w:link w:val="48"/>
    <w:qFormat/>
    <w:uiPriority w:val="0"/>
    <w:pPr>
      <w:keepNext/>
      <w:numPr>
        <w:ilvl w:val="3"/>
        <w:numId w:val="1"/>
      </w:numPr>
      <w:spacing w:before="240" w:after="60"/>
      <w:outlineLvl w:val="3"/>
    </w:pPr>
    <w:rPr>
      <w:b/>
      <w:bCs/>
      <w:sz w:val="28"/>
      <w:szCs w:val="28"/>
    </w:rPr>
  </w:style>
  <w:style w:type="paragraph" w:styleId="6">
    <w:name w:val="heading 5"/>
    <w:basedOn w:val="1"/>
    <w:next w:val="1"/>
    <w:qFormat/>
    <w:uiPriority w:val="0"/>
    <w:pPr>
      <w:numPr>
        <w:ilvl w:val="4"/>
        <w:numId w:val="1"/>
      </w:numPr>
      <w:spacing w:before="240" w:after="60"/>
      <w:outlineLvl w:val="4"/>
    </w:pPr>
    <w:rPr>
      <w:b/>
      <w:bCs/>
      <w:i/>
      <w:iCs/>
      <w:sz w:val="26"/>
      <w:szCs w:val="26"/>
    </w:rPr>
  </w:style>
  <w:style w:type="paragraph" w:styleId="7">
    <w:name w:val="heading 6"/>
    <w:basedOn w:val="1"/>
    <w:next w:val="1"/>
    <w:qFormat/>
    <w:uiPriority w:val="0"/>
    <w:pPr>
      <w:numPr>
        <w:ilvl w:val="5"/>
        <w:numId w:val="1"/>
      </w:numPr>
      <w:spacing w:before="240" w:after="60"/>
      <w:outlineLvl w:val="5"/>
    </w:pPr>
    <w:rPr>
      <w:b/>
      <w:bCs/>
      <w:szCs w:val="22"/>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0"/>
    <w:link w:val="64"/>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72"/>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4">
    <w:name w:val="Default Paragraph Font"/>
    <w:unhideWhenUsed/>
    <w:qFormat/>
    <w:uiPriority w:val="1"/>
  </w:style>
  <w:style w:type="table" w:default="1" w:styleId="29">
    <w:name w:val="Normal Table"/>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3"/>
    <w:unhideWhenUsed/>
    <w:uiPriority w:val="99"/>
    <w:rPr>
      <w:b/>
      <w:bCs/>
    </w:rPr>
  </w:style>
  <w:style w:type="paragraph" w:styleId="13">
    <w:name w:val="annotation text"/>
    <w:basedOn w:val="1"/>
    <w:link w:val="54"/>
    <w:unhideWhenUsed/>
    <w:uiPriority w:val="99"/>
  </w:style>
  <w:style w:type="paragraph" w:styleId="14">
    <w:name w:val="caption"/>
    <w:basedOn w:val="1"/>
    <w:next w:val="1"/>
    <w:link w:val="65"/>
    <w:qFormat/>
    <w:uiPriority w:val="0"/>
    <w:rPr>
      <w:b/>
      <w:bCs/>
    </w:rPr>
  </w:style>
  <w:style w:type="paragraph" w:styleId="15">
    <w:name w:val="Document Map"/>
    <w:basedOn w:val="1"/>
    <w:semiHidden/>
    <w:qFormat/>
    <w:uiPriority w:val="0"/>
    <w:pPr>
      <w:shd w:val="clear" w:color="auto" w:fill="000080"/>
    </w:pPr>
    <w:rPr>
      <w:rFonts w:ascii="Tahoma" w:hAnsi="Tahoma" w:cs="Tahoma"/>
    </w:rPr>
  </w:style>
  <w:style w:type="paragraph" w:styleId="16">
    <w:name w:val="Body Text"/>
    <w:basedOn w:val="1"/>
    <w:qFormat/>
    <w:uiPriority w:val="0"/>
    <w:pPr>
      <w:overflowPunct/>
      <w:autoSpaceDE/>
      <w:autoSpaceDN/>
      <w:adjustRightInd/>
      <w:textAlignment w:val="auto"/>
    </w:pPr>
    <w:rPr>
      <w:rFonts w:eastAsia="MS Mincho"/>
    </w:rPr>
  </w:style>
  <w:style w:type="paragraph" w:styleId="17">
    <w:name w:val="Body Text Indent"/>
    <w:basedOn w:val="1"/>
    <w:qFormat/>
    <w:uiPriority w:val="0"/>
    <w:pPr>
      <w:ind w:left="283"/>
    </w:pPr>
  </w:style>
  <w:style w:type="paragraph" w:styleId="18">
    <w:name w:val="Balloon Text"/>
    <w:basedOn w:val="1"/>
    <w:link w:val="49"/>
    <w:unhideWhenUsed/>
    <w:qFormat/>
    <w:uiPriority w:val="0"/>
    <w:pPr>
      <w:spacing w:after="0"/>
    </w:pPr>
    <w:rPr>
      <w:rFonts w:ascii="Tahoma" w:hAnsi="Tahoma" w:cs="Tahoma"/>
      <w:sz w:val="16"/>
      <w:szCs w:val="16"/>
    </w:rPr>
  </w:style>
  <w:style w:type="paragraph" w:styleId="19">
    <w:name w:val="footer"/>
    <w:basedOn w:val="1"/>
    <w:link w:val="39"/>
    <w:unhideWhenUsed/>
    <w:qFormat/>
    <w:uiPriority w:val="99"/>
    <w:pPr>
      <w:tabs>
        <w:tab w:val="center" w:pos="4513"/>
        <w:tab w:val="right" w:pos="9026"/>
      </w:tabs>
    </w:pPr>
  </w:style>
  <w:style w:type="paragraph" w:styleId="20">
    <w:name w:val="header"/>
    <w:link w:val="38"/>
    <w:qFormat/>
    <w:uiPriority w:val="99"/>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21">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宋体" w:cs="Times New Roman"/>
      <w:b/>
      <w:szCs w:val="22"/>
      <w:lang w:val="en-US" w:eastAsia="zh-CN" w:bidi="ar-SA"/>
    </w:rPr>
  </w:style>
  <w:style w:type="paragraph" w:styleId="22">
    <w:name w:val="List"/>
    <w:basedOn w:val="1"/>
    <w:qFormat/>
    <w:uiPriority w:val="0"/>
    <w:pPr>
      <w:ind w:left="283" w:hanging="283"/>
    </w:pPr>
  </w:style>
  <w:style w:type="paragraph" w:styleId="23">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5">
    <w:name w:val="Strong"/>
    <w:qFormat/>
    <w:uiPriority w:val="22"/>
    <w:rPr>
      <w:b/>
      <w:bCs/>
    </w:rPr>
  </w:style>
  <w:style w:type="character" w:styleId="26">
    <w:name w:val="FollowedHyperlink"/>
    <w:basedOn w:val="24"/>
    <w:qFormat/>
    <w:uiPriority w:val="0"/>
    <w:rPr>
      <w:color w:val="800080"/>
      <w:u w:val="single"/>
    </w:rPr>
  </w:style>
  <w:style w:type="character" w:styleId="27">
    <w:name w:val="Hyperlink"/>
    <w:basedOn w:val="24"/>
    <w:unhideWhenUsed/>
    <w:uiPriority w:val="99"/>
    <w:rPr>
      <w:color w:val="0000FF"/>
      <w:u w:val="single"/>
    </w:rPr>
  </w:style>
  <w:style w:type="character" w:styleId="28">
    <w:name w:val="annotation reference"/>
    <w:basedOn w:val="24"/>
    <w:unhideWhenUsed/>
    <w:qFormat/>
    <w:uiPriority w:val="0"/>
    <w:rPr>
      <w:sz w:val="16"/>
      <w:szCs w:val="16"/>
    </w:rPr>
  </w:style>
  <w:style w:type="table" w:styleId="30">
    <w:name w:val="Table Grid"/>
    <w:basedOn w:val="29"/>
    <w:qFormat/>
    <w:uiPriority w:val="5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1">
    <w:name w:val="B1 Char"/>
    <w:basedOn w:val="24"/>
    <w:uiPriority w:val="0"/>
    <w:rPr>
      <w:rFonts w:ascii="Times New Roman" w:hAnsi="Times New Roman"/>
      <w:lang w:val="en-GB" w:eastAsia="en-US"/>
    </w:rPr>
  </w:style>
  <w:style w:type="character" w:customStyle="1" w:styleId="32">
    <w:name w:val="msoins"/>
    <w:basedOn w:val="24"/>
    <w:uiPriority w:val="0"/>
  </w:style>
  <w:style w:type="character" w:customStyle="1" w:styleId="33">
    <w:name w:val="Heading 1 Char"/>
    <w:basedOn w:val="24"/>
    <w:link w:val="2"/>
    <w:uiPriority w:val="0"/>
    <w:rPr>
      <w:rFonts w:ascii="Arial" w:hAnsi="Arial" w:eastAsia="Times New Roman"/>
      <w:sz w:val="36"/>
      <w:lang w:val="en-GB" w:eastAsia="en-US" w:bidi="ar-SA"/>
    </w:rPr>
  </w:style>
  <w:style w:type="character" w:customStyle="1" w:styleId="34">
    <w:name w:val="TH Char"/>
    <w:link w:val="35"/>
    <w:qFormat/>
    <w:uiPriority w:val="0"/>
    <w:rPr>
      <w:rFonts w:ascii="Arial" w:hAnsi="Arial" w:eastAsia="Times New Roman"/>
      <w:b/>
      <w:lang w:val="en-GB" w:eastAsia="en-GB"/>
    </w:rPr>
  </w:style>
  <w:style w:type="paragraph" w:customStyle="1" w:styleId="35">
    <w:name w:val="TH"/>
    <w:basedOn w:val="1"/>
    <w:link w:val="34"/>
    <w:uiPriority w:val="0"/>
    <w:pPr>
      <w:keepNext/>
      <w:keepLines/>
      <w:spacing w:before="60"/>
      <w:jc w:val="center"/>
    </w:pPr>
    <w:rPr>
      <w:rFonts w:ascii="Arial" w:hAnsi="Arial"/>
      <w:b/>
      <w:lang w:eastAsia="en-GB"/>
    </w:rPr>
  </w:style>
  <w:style w:type="character" w:customStyle="1" w:styleId="36">
    <w:name w:val="PL Char"/>
    <w:basedOn w:val="24"/>
    <w:link w:val="37"/>
    <w:uiPriority w:val="0"/>
    <w:rPr>
      <w:rFonts w:ascii="Courier New" w:hAnsi="Courier New" w:eastAsia="宋体"/>
      <w:sz w:val="16"/>
      <w:lang w:val="en-GB" w:eastAsia="ja-JP" w:bidi="ar-SA"/>
    </w:rPr>
  </w:style>
  <w:style w:type="paragraph" w:customStyle="1" w:styleId="37">
    <w:name w:val="PL"/>
    <w:link w:val="36"/>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character" w:customStyle="1" w:styleId="38">
    <w:name w:val="Header Char"/>
    <w:basedOn w:val="24"/>
    <w:link w:val="20"/>
    <w:qFormat/>
    <w:uiPriority w:val="99"/>
    <w:rPr>
      <w:rFonts w:ascii="Arial" w:hAnsi="Arial" w:eastAsia="Times New Roman"/>
      <w:b/>
      <w:sz w:val="18"/>
      <w:lang w:val="en-US" w:eastAsia="en-US" w:bidi="ar-SA"/>
    </w:rPr>
  </w:style>
  <w:style w:type="character" w:customStyle="1" w:styleId="39">
    <w:name w:val="Footer Char"/>
    <w:basedOn w:val="24"/>
    <w:link w:val="19"/>
    <w:qFormat/>
    <w:uiPriority w:val="99"/>
    <w:rPr>
      <w:rFonts w:ascii="Times New Roman" w:hAnsi="Times New Roman" w:eastAsia="Times New Roman"/>
      <w:lang w:val="en-GB" w:eastAsia="en-US"/>
    </w:rPr>
  </w:style>
  <w:style w:type="character" w:customStyle="1" w:styleId="40">
    <w:name w:val="TAL + Left:  1;00 cm Char Char"/>
    <w:basedOn w:val="41"/>
    <w:link w:val="43"/>
    <w:uiPriority w:val="0"/>
    <w:rPr>
      <w:lang w:eastAsia="en-GB"/>
    </w:rPr>
  </w:style>
  <w:style w:type="character" w:customStyle="1" w:styleId="41">
    <w:name w:val="TAL Char"/>
    <w:basedOn w:val="24"/>
    <w:link w:val="42"/>
    <w:uiPriority w:val="0"/>
    <w:rPr>
      <w:rFonts w:ascii="Arial" w:hAnsi="Arial"/>
      <w:sz w:val="18"/>
      <w:lang w:val="en-GB" w:eastAsia="ja-JP" w:bidi="ar-SA"/>
    </w:rPr>
  </w:style>
  <w:style w:type="paragraph" w:customStyle="1" w:styleId="42">
    <w:name w:val="TAL"/>
    <w:basedOn w:val="1"/>
    <w:link w:val="41"/>
    <w:qFormat/>
    <w:uiPriority w:val="0"/>
    <w:pPr>
      <w:keepNext/>
      <w:keepLines/>
      <w:spacing w:after="0"/>
    </w:pPr>
    <w:rPr>
      <w:rFonts w:ascii="Arial" w:hAnsi="Arial"/>
      <w:sz w:val="18"/>
      <w:lang w:eastAsia="ja-JP"/>
    </w:rPr>
  </w:style>
  <w:style w:type="paragraph" w:customStyle="1" w:styleId="43">
    <w:name w:val="TAL + Left:  1"/>
    <w:basedOn w:val="42"/>
    <w:link w:val="40"/>
    <w:qFormat/>
    <w:uiPriority w:val="0"/>
    <w:pPr>
      <w:ind w:left="567"/>
    </w:pPr>
    <w:rPr>
      <w:lang w:eastAsia="en-GB"/>
    </w:rPr>
  </w:style>
  <w:style w:type="character" w:customStyle="1" w:styleId="44">
    <w:name w:val="MTDisplayEquation Char"/>
    <w:basedOn w:val="24"/>
    <w:link w:val="45"/>
    <w:qFormat/>
    <w:uiPriority w:val="0"/>
    <w:rPr>
      <w:rFonts w:ascii="Times New Roman" w:hAnsi="Times New Roman" w:eastAsia="宋体"/>
    </w:rPr>
  </w:style>
  <w:style w:type="paragraph" w:customStyle="1" w:styleId="45">
    <w:name w:val="MTDisplayEquation"/>
    <w:basedOn w:val="1"/>
    <w:next w:val="1"/>
    <w:link w:val="44"/>
    <w:uiPriority w:val="0"/>
    <w:pPr>
      <w:tabs>
        <w:tab w:val="center" w:pos="4680"/>
        <w:tab w:val="right" w:pos="9360"/>
      </w:tabs>
    </w:pPr>
    <w:rPr>
      <w:rFonts w:eastAsia="宋体"/>
      <w:lang w:val="en-US" w:eastAsia="zh-CN"/>
    </w:rPr>
  </w:style>
  <w:style w:type="character" w:customStyle="1" w:styleId="46">
    <w:name w:val="Text Car"/>
    <w:basedOn w:val="24"/>
    <w:link w:val="47"/>
    <w:qFormat/>
    <w:uiPriority w:val="0"/>
    <w:rPr>
      <w:rFonts w:ascii="Arial" w:hAnsi="Arial"/>
      <w:lang w:val="en-US" w:eastAsia="en-US" w:bidi="ar-SA"/>
    </w:rPr>
  </w:style>
  <w:style w:type="paragraph" w:customStyle="1" w:styleId="47">
    <w:name w:val="Text"/>
    <w:basedOn w:val="1"/>
    <w:link w:val="46"/>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48">
    <w:name w:val="Heading 4 Char"/>
    <w:basedOn w:val="24"/>
    <w:link w:val="5"/>
    <w:qFormat/>
    <w:uiPriority w:val="0"/>
    <w:rPr>
      <w:rFonts w:ascii="Times New Roman" w:hAnsi="Times New Roman" w:eastAsia="Times New Roman"/>
      <w:b/>
      <w:bCs/>
      <w:sz w:val="28"/>
      <w:szCs w:val="28"/>
      <w:lang w:val="en-GB" w:eastAsia="en-US"/>
    </w:rPr>
  </w:style>
  <w:style w:type="character" w:customStyle="1" w:styleId="49">
    <w:name w:val="Balloon Text Char"/>
    <w:basedOn w:val="24"/>
    <w:link w:val="18"/>
    <w:qFormat/>
    <w:uiPriority w:val="0"/>
    <w:rPr>
      <w:rFonts w:ascii="Tahoma" w:hAnsi="Tahoma" w:eastAsia="Times New Roman" w:cs="Tahoma"/>
      <w:sz w:val="16"/>
      <w:szCs w:val="16"/>
      <w:lang w:val="en-GB"/>
    </w:rPr>
  </w:style>
  <w:style w:type="character" w:customStyle="1" w:styleId="50">
    <w:name w:val="Placeholder Text"/>
    <w:basedOn w:val="24"/>
    <w:semiHidden/>
    <w:uiPriority w:val="99"/>
    <w:rPr>
      <w:color w:val="808080"/>
    </w:rPr>
  </w:style>
  <w:style w:type="character" w:customStyle="1" w:styleId="51">
    <w:name w:val="main text Char"/>
    <w:basedOn w:val="24"/>
    <w:link w:val="52"/>
    <w:qFormat/>
    <w:uiPriority w:val="0"/>
    <w:rPr>
      <w:rFonts w:ascii="Times New Roman" w:hAnsi="Times New Roman" w:cs="Batang"/>
      <w:lang w:val="en-GB" w:eastAsia="ko-KR"/>
    </w:rPr>
  </w:style>
  <w:style w:type="paragraph" w:customStyle="1" w:styleId="52">
    <w:name w:val="main text"/>
    <w:basedOn w:val="1"/>
    <w:link w:val="51"/>
    <w:qFormat/>
    <w:uiPriority w:val="0"/>
    <w:pPr>
      <w:overflowPunct/>
      <w:autoSpaceDE/>
      <w:autoSpaceDN/>
      <w:adjustRightInd/>
      <w:spacing w:before="60" w:after="60" w:line="288" w:lineRule="auto"/>
      <w:ind w:firstLine="200" w:firstLineChars="200"/>
      <w:textAlignment w:val="auto"/>
    </w:pPr>
    <w:rPr>
      <w:rFonts w:eastAsia="Malgun Gothic" w:cs="Batang"/>
      <w:lang w:eastAsia="ko-KR"/>
    </w:rPr>
  </w:style>
  <w:style w:type="character" w:customStyle="1" w:styleId="53">
    <w:name w:val="Comment Subject Char"/>
    <w:basedOn w:val="54"/>
    <w:link w:val="12"/>
    <w:semiHidden/>
    <w:qFormat/>
    <w:uiPriority w:val="99"/>
    <w:rPr>
      <w:b/>
      <w:bCs/>
    </w:rPr>
  </w:style>
  <w:style w:type="character" w:customStyle="1" w:styleId="54">
    <w:name w:val="Comment Text Char"/>
    <w:basedOn w:val="24"/>
    <w:link w:val="13"/>
    <w:semiHidden/>
    <w:qFormat/>
    <w:uiPriority w:val="99"/>
    <w:rPr>
      <w:rFonts w:ascii="Times New Roman" w:hAnsi="Times New Roman" w:eastAsia="Times New Roman" w:cs="Times New Roman"/>
      <w:sz w:val="20"/>
      <w:szCs w:val="20"/>
      <w:lang w:val="en-GB"/>
    </w:rPr>
  </w:style>
  <w:style w:type="character" w:customStyle="1" w:styleId="55">
    <w:name w:val="header odd Char"/>
    <w:basedOn w:val="24"/>
    <w:qFormat/>
    <w:uiPriority w:val="0"/>
    <w:rPr>
      <w:lang w:val="en-GB" w:eastAsia="en-US" w:bidi="ar-SA"/>
    </w:rPr>
  </w:style>
  <w:style w:type="character" w:customStyle="1" w:styleId="56">
    <w:name w:val="Doc-text2 Char"/>
    <w:basedOn w:val="24"/>
    <w:link w:val="57"/>
    <w:qFormat/>
    <w:uiPriority w:val="0"/>
    <w:rPr>
      <w:rFonts w:ascii="Arial" w:hAnsi="Arial" w:eastAsia="MS Mincho"/>
      <w:szCs w:val="24"/>
      <w:lang w:val="en-GB" w:eastAsia="en-GB" w:bidi="ar-SA"/>
    </w:rPr>
  </w:style>
  <w:style w:type="paragraph" w:customStyle="1" w:styleId="57">
    <w:name w:val="Doc-text2"/>
    <w:basedOn w:val="1"/>
    <w:link w:val="56"/>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B1 Char1"/>
    <w:basedOn w:val="24"/>
    <w:link w:val="59"/>
    <w:qFormat/>
    <w:uiPriority w:val="0"/>
    <w:rPr>
      <w:rFonts w:eastAsia="MS Mincho"/>
      <w:lang w:val="en-GB" w:eastAsia="en-US" w:bidi="ar-SA"/>
    </w:rPr>
  </w:style>
  <w:style w:type="paragraph" w:customStyle="1" w:styleId="59">
    <w:name w:val="B1"/>
    <w:basedOn w:val="1"/>
    <w:link w:val="58"/>
    <w:qFormat/>
    <w:uiPriority w:val="0"/>
    <w:pPr>
      <w:overflowPunct/>
      <w:autoSpaceDE/>
      <w:autoSpaceDN/>
      <w:adjustRightInd/>
      <w:ind w:left="568" w:hanging="284"/>
      <w:textAlignment w:val="auto"/>
    </w:pPr>
    <w:rPr>
      <w:rFonts w:eastAsia="MS Mincho"/>
    </w:rPr>
  </w:style>
  <w:style w:type="character" w:customStyle="1" w:styleId="60">
    <w:name w:val="NO Char"/>
    <w:basedOn w:val="24"/>
    <w:link w:val="61"/>
    <w:qFormat/>
    <w:uiPriority w:val="0"/>
    <w:rPr>
      <w:rFonts w:eastAsia="MS Mincho"/>
      <w:lang w:val="en-GB" w:eastAsia="en-US" w:bidi="ar-SA"/>
    </w:rPr>
  </w:style>
  <w:style w:type="paragraph" w:customStyle="1" w:styleId="61">
    <w:name w:val="NO"/>
    <w:basedOn w:val="1"/>
    <w:link w:val="60"/>
    <w:qFormat/>
    <w:uiPriority w:val="0"/>
    <w:pPr>
      <w:keepLines/>
      <w:overflowPunct/>
      <w:autoSpaceDE/>
      <w:autoSpaceDN/>
      <w:adjustRightInd/>
      <w:ind w:left="1135" w:hanging="851"/>
      <w:textAlignment w:val="auto"/>
    </w:pPr>
    <w:rPr>
      <w:rFonts w:eastAsia="MS Mincho"/>
    </w:rPr>
  </w:style>
  <w:style w:type="character" w:customStyle="1" w:styleId="62">
    <w:name w:val="TAH Char"/>
    <w:basedOn w:val="24"/>
    <w:link w:val="63"/>
    <w:qFormat/>
    <w:uiPriority w:val="0"/>
    <w:rPr>
      <w:rFonts w:ascii="Arial" w:hAnsi="Arial"/>
      <w:b/>
      <w:sz w:val="18"/>
      <w:lang w:val="en-GB" w:eastAsia="ja-JP" w:bidi="ar-SA"/>
    </w:rPr>
  </w:style>
  <w:style w:type="paragraph" w:customStyle="1" w:styleId="63">
    <w:name w:val="TAH"/>
    <w:basedOn w:val="1"/>
    <w:link w:val="62"/>
    <w:uiPriority w:val="0"/>
    <w:pPr>
      <w:keepNext/>
      <w:keepLines/>
      <w:spacing w:after="0"/>
      <w:jc w:val="center"/>
    </w:pPr>
    <w:rPr>
      <w:rFonts w:ascii="Arial" w:hAnsi="Arial"/>
      <w:b/>
      <w:sz w:val="18"/>
      <w:lang w:eastAsia="ja-JP"/>
    </w:rPr>
  </w:style>
  <w:style w:type="character" w:customStyle="1" w:styleId="64">
    <w:name w:val="Heading 8 Char"/>
    <w:basedOn w:val="24"/>
    <w:link w:val="9"/>
    <w:qFormat/>
    <w:uiPriority w:val="0"/>
    <w:rPr>
      <w:rFonts w:ascii="Arial" w:hAnsi="Arial" w:eastAsia="宋体"/>
      <w:kern w:val="2"/>
      <w:sz w:val="21"/>
      <w:szCs w:val="24"/>
    </w:rPr>
  </w:style>
  <w:style w:type="character" w:customStyle="1" w:styleId="65">
    <w:name w:val="Caption Char"/>
    <w:basedOn w:val="24"/>
    <w:link w:val="14"/>
    <w:qFormat/>
    <w:uiPriority w:val="0"/>
    <w:rPr>
      <w:b/>
      <w:bCs/>
      <w:lang w:val="en-GB" w:eastAsia="en-US" w:bidi="ar-SA"/>
    </w:rPr>
  </w:style>
  <w:style w:type="character" w:customStyle="1" w:styleId="66">
    <w:name w:val="B2 Char1"/>
    <w:basedOn w:val="54"/>
    <w:link w:val="67"/>
    <w:uiPriority w:val="0"/>
    <w:rPr>
      <w:lang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Doc-title Char"/>
    <w:basedOn w:val="24"/>
    <w:link w:val="69"/>
    <w:uiPriority w:val="0"/>
    <w:rPr>
      <w:rFonts w:ascii="Arial" w:hAnsi="Arial" w:eastAsia="MS Mincho"/>
      <w:szCs w:val="24"/>
      <w:lang w:val="en-GB" w:eastAsia="en-GB" w:bidi="ar-SA"/>
    </w:rPr>
  </w:style>
  <w:style w:type="paragraph" w:customStyle="1" w:styleId="69">
    <w:name w:val="Doc-title"/>
    <w:basedOn w:val="1"/>
    <w:next w:val="57"/>
    <w:link w:val="68"/>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character" w:customStyle="1" w:styleId="70">
    <w:name w:val="TAC Char"/>
    <w:link w:val="71"/>
    <w:qFormat/>
    <w:uiPriority w:val="0"/>
    <w:rPr>
      <w:rFonts w:ascii="Arial" w:hAnsi="Arial" w:eastAsia="Times New Roman"/>
      <w:sz w:val="18"/>
      <w:lang w:val="en-GB" w:eastAsia="ja-JP"/>
    </w:rPr>
  </w:style>
  <w:style w:type="paragraph" w:customStyle="1" w:styleId="71">
    <w:name w:val="TAC"/>
    <w:basedOn w:val="42"/>
    <w:link w:val="70"/>
    <w:qFormat/>
    <w:uiPriority w:val="0"/>
    <w:pPr>
      <w:jc w:val="center"/>
    </w:pPr>
  </w:style>
  <w:style w:type="character" w:customStyle="1" w:styleId="72">
    <w:name w:val="Heading 9 Char"/>
    <w:basedOn w:val="24"/>
    <w:link w:val="11"/>
    <w:qFormat/>
    <w:uiPriority w:val="0"/>
    <w:rPr>
      <w:rFonts w:ascii="Arial" w:hAnsi="Arial" w:eastAsia="宋体"/>
      <w:kern w:val="2"/>
      <w:sz w:val="21"/>
      <w:szCs w:val="24"/>
    </w:rPr>
  </w:style>
  <w:style w:type="character" w:customStyle="1" w:styleId="73">
    <w:name w:val="B1 (文字)"/>
    <w:basedOn w:val="24"/>
    <w:qFormat/>
    <w:uiPriority w:val="0"/>
    <w:rPr>
      <w:rFonts w:eastAsia="Times New Roman"/>
    </w:rPr>
  </w:style>
  <w:style w:type="character" w:customStyle="1" w:styleId="74">
    <w:name w:val="MTEquationSection"/>
    <w:basedOn w:val="24"/>
    <w:qFormat/>
    <w:uiPriority w:val="0"/>
    <w:rPr>
      <w:rFonts w:cs="Arial"/>
      <w:bCs/>
      <w:vanish/>
      <w:color w:val="FF0000"/>
      <w:sz w:val="28"/>
      <w:szCs w:val="28"/>
      <w:lang w:eastAsia="zh-CN"/>
    </w:rPr>
  </w:style>
  <w:style w:type="character" w:customStyle="1" w:styleId="75">
    <w:name w:val="apple-converted-space"/>
    <w:basedOn w:val="24"/>
    <w:qFormat/>
    <w:uiPriority w:val="0"/>
  </w:style>
  <w:style w:type="character" w:customStyle="1" w:styleId="76">
    <w:name w:val="Reference Char"/>
    <w:link w:val="77"/>
    <w:qFormat/>
    <w:uiPriority w:val="0"/>
    <w:rPr>
      <w:rFonts w:ascii="Times New Roman" w:hAnsi="Times New Roman" w:eastAsia="MS Mincho"/>
      <w:sz w:val="22"/>
      <w:lang w:val="en-GB" w:eastAsia="en-US"/>
    </w:rPr>
  </w:style>
  <w:style w:type="paragraph" w:customStyle="1" w:styleId="77">
    <w:name w:val="Reference"/>
    <w:basedOn w:val="1"/>
    <w:link w:val="76"/>
    <w:qFormat/>
    <w:uiPriority w:val="0"/>
    <w:pPr>
      <w:numPr>
        <w:ilvl w:val="0"/>
        <w:numId w:val="2"/>
      </w:numPr>
      <w:ind w:right="-99"/>
    </w:pPr>
    <w:rPr>
      <w:rFonts w:eastAsia="MS Mincho"/>
      <w:sz w:val="22"/>
    </w:rPr>
  </w:style>
  <w:style w:type="paragraph" w:customStyle="1" w:styleId="78">
    <w:name w:val="TF"/>
    <w:basedOn w:val="35"/>
    <w:uiPriority w:val="0"/>
    <w:pPr>
      <w:keepNext w:val="0"/>
      <w:spacing w:before="0" w:after="240"/>
    </w:pPr>
  </w:style>
  <w:style w:type="paragraph" w:customStyle="1" w:styleId="79">
    <w:name w:val="ACTION"/>
    <w:basedOn w:val="1"/>
    <w:uiPriority w:val="0"/>
    <w:pPr>
      <w:keepNext/>
      <w:keepLines/>
      <w:widowControl w:val="0"/>
      <w:numPr>
        <w:ilvl w:val="0"/>
        <w:numId w:val="3"/>
      </w:numPr>
      <w:pBdr>
        <w:top w:val="single" w:color="FF0000" w:sz="6" w:space="1"/>
        <w:left w:val="single" w:color="FF0000" w:sz="6" w:space="4"/>
        <w:bottom w:val="single" w:color="FF0000" w:sz="6" w:space="1"/>
        <w:right w:val="single" w:color="FF0000" w:sz="6" w:space="4"/>
      </w:pBdr>
      <w:tabs>
        <w:tab w:val="left" w:pos="1843"/>
        <w:tab w:val="clear" w:pos="360"/>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Batang" w:cs="Times New Roman"/>
      <w:b/>
      <w:sz w:val="34"/>
      <w:lang w:val="en-GB" w:eastAsia="en-US" w:bidi="ar-SA"/>
    </w:rPr>
  </w:style>
  <w:style w:type="paragraph" w:customStyle="1" w:styleId="81">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82">
    <w:name w:val="TAL + Left: 1"/>
    <w:basedOn w:val="42"/>
    <w:qFormat/>
    <w:uiPriority w:val="0"/>
    <w:pPr>
      <w:ind w:left="567"/>
    </w:pPr>
    <w:rPr>
      <w:lang w:eastAsia="en-US"/>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List Paragraph"/>
    <w:basedOn w:val="1"/>
    <w:qFormat/>
    <w:uiPriority w:val="99"/>
    <w:pPr>
      <w:overflowPunct/>
      <w:autoSpaceDE/>
      <w:autoSpaceDN/>
      <w:adjustRightInd/>
      <w:spacing w:after="0"/>
      <w:ind w:firstLine="420" w:firstLineChars="200"/>
      <w:textAlignment w:val="auto"/>
    </w:pPr>
    <w:rPr>
      <w:rFonts w:ascii="宋体" w:hAnsi="宋体" w:eastAsia="宋体" w:cs="宋体"/>
      <w:sz w:val="24"/>
      <w:szCs w:val="24"/>
      <w:lang w:val="en-US" w:eastAsia="zh-CN"/>
    </w:rPr>
  </w:style>
  <w:style w:type="paragraph" w:customStyle="1" w:styleId="85">
    <w:name w:val="CR Cover Page"/>
    <w:qFormat/>
    <w:uiPriority w:val="0"/>
    <w:pPr>
      <w:spacing w:after="120"/>
    </w:pPr>
    <w:rPr>
      <w:rFonts w:ascii="Arial" w:hAnsi="Arial" w:eastAsia="MS Mincho" w:cs="Times New Roman"/>
      <w:lang w:val="en-GB" w:eastAsia="en-US" w:bidi="ar-SA"/>
    </w:rPr>
  </w:style>
  <w:style w:type="paragraph" w:customStyle="1" w:styleId="86">
    <w:name w:val="Observation"/>
    <w:basedOn w:val="1"/>
    <w:qFormat/>
    <w:uiPriority w:val="0"/>
    <w:pPr>
      <w:numPr>
        <w:ilvl w:val="0"/>
        <w:numId w:val="4"/>
      </w:numPr>
      <w:tabs>
        <w:tab w:val="left" w:pos="1701"/>
      </w:tabs>
    </w:pPr>
    <w:rPr>
      <w:rFonts w:ascii="Arial" w:hAnsi="Arial" w:eastAsia="宋体"/>
      <w:b/>
      <w:bCs/>
      <w:lang w:eastAsia="zh-CN"/>
    </w:rPr>
  </w:style>
  <w:style w:type="paragraph" w:customStyle="1" w:styleId="87">
    <w:name w:val="List Paragraph1"/>
    <w:basedOn w:val="1"/>
    <w:qFormat/>
    <w:uiPriority w:val="34"/>
    <w:pPr>
      <w:ind w:left="720"/>
      <w:contextualSpacing/>
    </w:pPr>
  </w:style>
  <w:style w:type="paragraph" w:customStyle="1" w:styleId="88">
    <w:name w:val="Style Numbered (Latin) Bold Before:  0 cm Hanging:  063 cm"/>
    <w:next w:val="22"/>
    <w:uiPriority w:val="0"/>
    <w:pPr>
      <w:numPr>
        <w:ilvl w:val="0"/>
        <w:numId w:val="5"/>
      </w:numPr>
    </w:pPr>
    <w:rPr>
      <w:rFonts w:ascii="Times New Roman" w:hAnsi="Times New Roman" w:eastAsia="MS Mincho" w:cs="Times New Roman"/>
      <w:lang w:val="en-GB" w:eastAsia="en-US" w:bidi="ar-SA"/>
    </w:rPr>
  </w:style>
  <w:style w:type="paragraph" w:customStyle="1" w:styleId="89">
    <w:name w:val="Char Char13 (文字) (文字) Char Char"/>
    <w:basedOn w:val="1"/>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0">
    <w:name w:val="3GPP_Header"/>
    <w:basedOn w:val="1"/>
    <w:uiPriority w:val="0"/>
    <w:pPr>
      <w:tabs>
        <w:tab w:val="left" w:pos="1701"/>
        <w:tab w:val="right" w:pos="9639"/>
      </w:tabs>
      <w:spacing w:after="240"/>
    </w:pPr>
    <w:rPr>
      <w:rFonts w:ascii="Arial" w:hAnsi="Arial"/>
      <w:b/>
      <w:sz w:val="24"/>
      <w:lang w:eastAsia="zh-CN"/>
    </w:rPr>
  </w:style>
  <w:style w:type="paragraph" w:customStyle="1" w:styleId="91">
    <w:name w:val="EQ"/>
    <w:basedOn w:val="1"/>
    <w:next w:val="1"/>
    <w:qFormat/>
    <w:uiPriority w:val="0"/>
    <w:pPr>
      <w:keepLines/>
      <w:tabs>
        <w:tab w:val="center" w:pos="4536"/>
        <w:tab w:val="right" w:pos="9072"/>
      </w:tabs>
    </w:pPr>
    <w:rPr>
      <w:lang w:val="en-US" w:eastAsia="en-GB"/>
    </w:rPr>
  </w:style>
</w:styles>
</file>

<file path=word/_rels/document.xml.rels><?xml version="1.0" encoding="UTF-8" standalone="yes"?>
<Relationships xmlns="http://schemas.openxmlformats.org/package/2006/relationships"><Relationship Id="rId9" Type="http://schemas.openxmlformats.org/officeDocument/2006/relationships/chart" Target="charts/chart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chart" Target="charts/chart6.xml"/><Relationship Id="rId13" Type="http://schemas.openxmlformats.org/officeDocument/2006/relationships/chart" Target="charts/chart5.xml"/><Relationship Id="rId12" Type="http://schemas.openxmlformats.org/officeDocument/2006/relationships/chart" Target="charts/chart4.xml"/><Relationship Id="rId11" Type="http://schemas.openxmlformats.org/officeDocument/2006/relationships/chart" Target="charts/chart3.xml"/><Relationship Id="rId10" Type="http://schemas.openxmlformats.org/officeDocument/2006/relationships/chart" Target="charts/chart2.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Documents%20and%20Settings\Administrator\&#26700;&#38754;\Overhead%20reductio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Close loop,60+16CRC,DS30ns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[1]OR!$B$11</c:f>
              <c:strCache>
                <c:ptCount val="1"/>
                <c:pt idx="0">
                  <c:v>wOR_AL1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[1]OR!$D$11:$P$11</c:f>
              <c:numCache>
                <c:formatCode>General</c:formatCode>
                <c:ptCount val="13"/>
                <c:pt idx="0" c:formatCode="General">
                  <c:v>1</c:v>
                </c:pt>
                <c:pt idx="1" c:formatCode="General">
                  <c:v>1</c:v>
                </c:pt>
                <c:pt idx="2" c:formatCode="General">
                  <c:v>1</c:v>
                </c:pt>
                <c:pt idx="3" c:formatCode="General">
                  <c:v>0.994</c:v>
                </c:pt>
                <c:pt idx="4" c:formatCode="General">
                  <c:v>0.936</c:v>
                </c:pt>
                <c:pt idx="5" c:formatCode="General">
                  <c:v>0.737</c:v>
                </c:pt>
                <c:pt idx="6" c:formatCode="General">
                  <c:v>0.473</c:v>
                </c:pt>
                <c:pt idx="7" c:formatCode="General">
                  <c:v>0.246</c:v>
                </c:pt>
                <c:pt idx="8" c:formatCode="General">
                  <c:v>0.119</c:v>
                </c:pt>
                <c:pt idx="9" c:formatCode="General">
                  <c:v>0.041</c:v>
                </c:pt>
                <c:pt idx="10" c:formatCode="General">
                  <c:v>0.016</c:v>
                </c:pt>
                <c:pt idx="11" c:formatCode="General">
                  <c:v>0.012</c:v>
                </c:pt>
                <c:pt idx="12" c:formatCode="General">
                  <c:v>0.005</c:v>
                </c:pt>
              </c:numCache>
            </c:numRef>
          </c:val>
          <c:smooth val="0"/>
        </c:ser>
        <c:ser>
          <c:idx val="1"/>
          <c:order val="1"/>
          <c:tx>
            <c:strRef>
              <c:f>[1]OR!$B$57</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[1]OR!$D$57:$P$57</c:f>
              <c:numCache>
                <c:formatCode>General</c:formatCode>
                <c:ptCount val="13"/>
                <c:pt idx="0" c:formatCode="General">
                  <c:v>1</c:v>
                </c:pt>
                <c:pt idx="1" c:formatCode="General">
                  <c:v>1</c:v>
                </c:pt>
                <c:pt idx="2" c:formatCode="General">
                  <c:v>1</c:v>
                </c:pt>
                <c:pt idx="3" c:formatCode="General">
                  <c:v>0.999</c:v>
                </c:pt>
                <c:pt idx="4" c:formatCode="General">
                  <c:v>0.986</c:v>
                </c:pt>
                <c:pt idx="5" c:formatCode="General">
                  <c:v>0.893</c:v>
                </c:pt>
                <c:pt idx="6" c:formatCode="General">
                  <c:v>0.681</c:v>
                </c:pt>
                <c:pt idx="7" c:formatCode="General">
                  <c:v>0.418</c:v>
                </c:pt>
                <c:pt idx="8" c:formatCode="General">
                  <c:v>0.212</c:v>
                </c:pt>
                <c:pt idx="9" c:formatCode="General">
                  <c:v>0.083</c:v>
                </c:pt>
                <c:pt idx="10" c:formatCode="General">
                  <c:v>0.037</c:v>
                </c:pt>
                <c:pt idx="11" c:formatCode="General">
                  <c:v>0.018</c:v>
                </c:pt>
                <c:pt idx="12" c:formatCode="General">
                  <c:v>0.01</c:v>
                </c:pt>
              </c:numCache>
            </c:numRef>
          </c:val>
          <c:smooth val="0"/>
        </c:ser>
        <c:ser>
          <c:idx val="2"/>
          <c:order val="2"/>
          <c:tx>
            <c:strRef>
              <c:f>[1]OR!$B$14</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[1]OR!$D$14:$N$14</c:f>
              <c:numCache>
                <c:formatCode>General</c:formatCode>
                <c:ptCount val="11"/>
                <c:pt idx="0" c:formatCode="General">
                  <c:v>1</c:v>
                </c:pt>
                <c:pt idx="1" c:formatCode="General">
                  <c:v>0.99</c:v>
                </c:pt>
                <c:pt idx="2" c:formatCode="General">
                  <c:v>0.97</c:v>
                </c:pt>
                <c:pt idx="3" c:formatCode="General">
                  <c:v>0.747</c:v>
                </c:pt>
                <c:pt idx="4" c:formatCode="General">
                  <c:v>0.509</c:v>
                </c:pt>
                <c:pt idx="5" c:formatCode="General">
                  <c:v>0.25325</c:v>
                </c:pt>
                <c:pt idx="6" c:formatCode="General">
                  <c:v>0.12175</c:v>
                </c:pt>
                <c:pt idx="7" c:formatCode="General">
                  <c:v>0.0595</c:v>
                </c:pt>
                <c:pt idx="8" c:formatCode="General">
                  <c:v>0.0205</c:v>
                </c:pt>
                <c:pt idx="9" c:formatCode="General">
                  <c:v>0.009</c:v>
                </c:pt>
                <c:pt idx="10" c:formatCode="General">
                  <c:v>0.0045</c:v>
                </c:pt>
              </c:numCache>
            </c:numRef>
          </c:val>
          <c:smooth val="0"/>
        </c:ser>
        <c:ser>
          <c:idx val="5"/>
          <c:order val="3"/>
          <c:tx>
            <c:strRef>
              <c:f>[1]OR!$B$60</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[1]OR!$D$60:$N$60</c:f>
              <c:numCache>
                <c:formatCode>General</c:formatCode>
                <c:ptCount val="11"/>
                <c:pt idx="0" c:formatCode="General">
                  <c:v>1</c:v>
                </c:pt>
                <c:pt idx="1" c:formatCode="General">
                  <c:v>1</c:v>
                </c:pt>
                <c:pt idx="2" c:formatCode="General">
                  <c:v>0.99</c:v>
                </c:pt>
                <c:pt idx="3" c:formatCode="General">
                  <c:v>0.85</c:v>
                </c:pt>
                <c:pt idx="4" c:formatCode="General">
                  <c:v>0.612</c:v>
                </c:pt>
                <c:pt idx="5" c:formatCode="General">
                  <c:v>0.345</c:v>
                </c:pt>
                <c:pt idx="6" c:formatCode="General">
                  <c:v>0.16775</c:v>
                </c:pt>
                <c:pt idx="7" c:formatCode="General">
                  <c:v>0.079</c:v>
                </c:pt>
                <c:pt idx="8" c:formatCode="General">
                  <c:v>0.03575</c:v>
                </c:pt>
                <c:pt idx="9" c:formatCode="General">
                  <c:v>0.01475</c:v>
                </c:pt>
                <c:pt idx="10" c:formatCode="General">
                  <c:v>0.006</c:v>
                </c:pt>
              </c:numCache>
            </c:numRef>
          </c:val>
          <c:smooth val="0"/>
        </c:ser>
        <c:ser>
          <c:idx val="3"/>
          <c:order val="4"/>
          <c:tx>
            <c:strRef>
              <c:f>[1]OR!$B$17</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[1]OR!$D$17:$N$17</c:f>
              <c:numCache>
                <c:formatCode>General</c:formatCode>
                <c:ptCount val="11"/>
                <c:pt idx="0" c:formatCode="General">
                  <c:v>1</c:v>
                </c:pt>
                <c:pt idx="1" c:formatCode="General">
                  <c:v>0.867</c:v>
                </c:pt>
                <c:pt idx="2" c:formatCode="General">
                  <c:v>0.658</c:v>
                </c:pt>
                <c:pt idx="3" c:formatCode="General">
                  <c:v>0.397</c:v>
                </c:pt>
                <c:pt idx="4" c:formatCode="General">
                  <c:v>0.2055</c:v>
                </c:pt>
                <c:pt idx="5" c:formatCode="General">
                  <c:v>0.0835000000000001</c:v>
                </c:pt>
                <c:pt idx="6" c:formatCode="General">
                  <c:v>0.03975</c:v>
                </c:pt>
                <c:pt idx="7" c:formatCode="General">
                  <c:v>0.018</c:v>
                </c:pt>
                <c:pt idx="8" c:formatCode="General">
                  <c:v>0.007</c:v>
                </c:pt>
                <c:pt idx="9" c:formatCode="General">
                  <c:v>0.001</c:v>
                </c:pt>
                <c:pt idx="10" c:formatCode="General">
                  <c:v>0.00025</c:v>
                </c:pt>
              </c:numCache>
            </c:numRef>
          </c:val>
          <c:smooth val="0"/>
        </c:ser>
        <c:ser>
          <c:idx val="4"/>
          <c:order val="5"/>
          <c:tx>
            <c:strRef>
              <c:f>[1]OR!$B$63</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[1]OR!$D$63:$N$63</c:f>
              <c:numCache>
                <c:formatCode>General</c:formatCode>
                <c:ptCount val="11"/>
                <c:pt idx="0" c:formatCode="General">
                  <c:v>1</c:v>
                </c:pt>
                <c:pt idx="1" c:formatCode="General">
                  <c:v>0.92</c:v>
                </c:pt>
                <c:pt idx="2" c:formatCode="General">
                  <c:v>0.747</c:v>
                </c:pt>
                <c:pt idx="3" c:formatCode="General">
                  <c:v>0.48</c:v>
                </c:pt>
                <c:pt idx="4" c:formatCode="General">
                  <c:v>0.2575</c:v>
                </c:pt>
                <c:pt idx="5" c:formatCode="General">
                  <c:v>0.1225</c:v>
                </c:pt>
                <c:pt idx="6" c:formatCode="General">
                  <c:v>0.05575</c:v>
                </c:pt>
                <c:pt idx="7" c:formatCode="General">
                  <c:v>0.02475</c:v>
                </c:pt>
                <c:pt idx="8" c:formatCode="General">
                  <c:v>0.00925</c:v>
                </c:pt>
                <c:pt idx="9" c:formatCode="General">
                  <c:v>0.00225</c:v>
                </c:pt>
                <c:pt idx="10" c:formatCode="General">
                  <c:v>0</c:v>
                </c:pt>
              </c:numCache>
            </c:numRef>
          </c:val>
          <c:smooth val="0"/>
        </c:ser>
        <c:ser>
          <c:idx val="6"/>
          <c:order val="6"/>
          <c:tx>
            <c:strRef>
              <c:f>[1]OR!$B$20</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[1]OR!$D$20:$N$20</c:f>
              <c:numCache>
                <c:formatCode>General</c:formatCode>
                <c:ptCount val="11"/>
                <c:pt idx="0" c:formatCode="General">
                  <c:v>0.795</c:v>
                </c:pt>
                <c:pt idx="1" c:formatCode="General">
                  <c:v>0.533</c:v>
                </c:pt>
                <c:pt idx="2" c:formatCode="General">
                  <c:v>0.3</c:v>
                </c:pt>
                <c:pt idx="3" c:formatCode="General">
                  <c:v>0.11525</c:v>
                </c:pt>
                <c:pt idx="4" c:formatCode="General">
                  <c:v>0.04675</c:v>
                </c:pt>
                <c:pt idx="5" c:formatCode="General">
                  <c:v>0.0255</c:v>
                </c:pt>
                <c:pt idx="6" c:formatCode="General">
                  <c:v>0.01225</c:v>
                </c:pt>
                <c:pt idx="7" c:formatCode="General">
                  <c:v>0.00325</c:v>
                </c:pt>
                <c:pt idx="8" c:formatCode="General">
                  <c:v>0.0005</c:v>
                </c:pt>
                <c:pt idx="9" c:formatCode="General">
                  <c:v>0</c:v>
                </c:pt>
                <c:pt idx="10" c:formatCode="General">
                  <c:v>0</c:v>
                </c:pt>
              </c:numCache>
            </c:numRef>
          </c:val>
          <c:smooth val="0"/>
        </c:ser>
        <c:ser>
          <c:idx val="7"/>
          <c:order val="7"/>
          <c:tx>
            <c:strRef>
              <c:f>[1]OR!$B$66</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[1]OR!$D$66:$N$66</c:f>
              <c:numCache>
                <c:formatCode>General</c:formatCode>
                <c:ptCount val="11"/>
                <c:pt idx="0" c:formatCode="General">
                  <c:v>0.854</c:v>
                </c:pt>
                <c:pt idx="1" c:formatCode="General">
                  <c:v>0.639</c:v>
                </c:pt>
                <c:pt idx="2" c:formatCode="General">
                  <c:v>0.369</c:v>
                </c:pt>
                <c:pt idx="3" c:formatCode="General">
                  <c:v>0.168</c:v>
                </c:pt>
                <c:pt idx="4" c:formatCode="General">
                  <c:v>0.052</c:v>
                </c:pt>
                <c:pt idx="5" c:formatCode="General">
                  <c:v>0.021</c:v>
                </c:pt>
                <c:pt idx="6" c:formatCode="General">
                  <c:v>0.006</c:v>
                </c:pt>
                <c:pt idx="7" c:formatCode="General">
                  <c:v>0</c:v>
                </c:pt>
                <c:pt idx="8" c:formatCode="General">
                  <c:v>0</c:v>
                </c:pt>
                <c:pt idx="9" c:formatCode="General">
                  <c:v>0</c:v>
                </c:pt>
                <c:pt idx="10" c:formatCode="General">
                  <c:v>0</c:v>
                </c:pt>
              </c:numCache>
            </c:numRef>
          </c:val>
          <c:smooth val="0"/>
        </c:ser>
        <c:dLbls>
          <c:showLegendKey val="0"/>
          <c:showVal val="0"/>
          <c:showCatName val="0"/>
          <c:showSerName val="0"/>
          <c:showPercent val="0"/>
          <c:showBubbleSize val="0"/>
        </c:dLbls>
        <c:hiLowLines/>
        <c:marker val="1"/>
        <c:smooth val="0"/>
        <c:axId val="185590528"/>
        <c:axId val="185592448"/>
      </c:lineChart>
      <c:catAx>
        <c:axId val="185590528"/>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592448"/>
        <c:crossesAt val="0.000100000000000001"/>
        <c:auto val="1"/>
        <c:lblAlgn val="ctr"/>
        <c:lblOffset val="100"/>
        <c:noMultiLvlLbl val="0"/>
      </c:catAx>
      <c:valAx>
        <c:axId val="185592448"/>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590528"/>
        <c:crossesAt val="1"/>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Close loop,60+16CRC,DS300ns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[1]OR!$B$11</c:f>
              <c:strCache>
                <c:ptCount val="1"/>
                <c:pt idx="0">
                  <c:v>wOR_AL1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[1]OR!$D$12:$P$12</c:f>
              <c:numCache>
                <c:formatCode>General</c:formatCode>
                <c:ptCount val="13"/>
                <c:pt idx="0" c:formatCode="General">
                  <c:v>1</c:v>
                </c:pt>
                <c:pt idx="1" c:formatCode="General">
                  <c:v>1</c:v>
                </c:pt>
                <c:pt idx="2" c:formatCode="General">
                  <c:v>1</c:v>
                </c:pt>
                <c:pt idx="3" c:formatCode="General">
                  <c:v>0.986</c:v>
                </c:pt>
                <c:pt idx="4" c:formatCode="General">
                  <c:v>0.925</c:v>
                </c:pt>
                <c:pt idx="5" c:formatCode="General">
                  <c:v>0.766</c:v>
                </c:pt>
                <c:pt idx="6" c:formatCode="General">
                  <c:v>0.539</c:v>
                </c:pt>
                <c:pt idx="7" c:formatCode="General">
                  <c:v>0.331</c:v>
                </c:pt>
                <c:pt idx="8" c:formatCode="General">
                  <c:v>0.154</c:v>
                </c:pt>
                <c:pt idx="9" c:formatCode="General">
                  <c:v>0.065</c:v>
                </c:pt>
                <c:pt idx="10" c:formatCode="General">
                  <c:v>0.022</c:v>
                </c:pt>
                <c:pt idx="11" c:formatCode="General">
                  <c:v>0.003</c:v>
                </c:pt>
                <c:pt idx="12" c:formatCode="General">
                  <c:v>0</c:v>
                </c:pt>
              </c:numCache>
            </c:numRef>
          </c:val>
          <c:smooth val="0"/>
        </c:ser>
        <c:ser>
          <c:idx val="1"/>
          <c:order val="1"/>
          <c:tx>
            <c:strRef>
              <c:f>[1]OR!$B$57</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[1]OR!$D$58:$P$58</c:f>
              <c:numCache>
                <c:formatCode>General</c:formatCode>
                <c:ptCount val="13"/>
                <c:pt idx="0" c:formatCode="General">
                  <c:v>1</c:v>
                </c:pt>
                <c:pt idx="1" c:formatCode="General">
                  <c:v>1</c:v>
                </c:pt>
                <c:pt idx="2" c:formatCode="General">
                  <c:v>1</c:v>
                </c:pt>
                <c:pt idx="3" c:formatCode="General">
                  <c:v>0.999</c:v>
                </c:pt>
                <c:pt idx="4" c:formatCode="General">
                  <c:v>0.987</c:v>
                </c:pt>
                <c:pt idx="5" c:formatCode="General">
                  <c:v>0.902</c:v>
                </c:pt>
                <c:pt idx="6" c:formatCode="General">
                  <c:v>0.709</c:v>
                </c:pt>
                <c:pt idx="7" c:formatCode="General">
                  <c:v>0.491</c:v>
                </c:pt>
                <c:pt idx="8" c:formatCode="General">
                  <c:v>0.295</c:v>
                </c:pt>
                <c:pt idx="9" c:formatCode="General">
                  <c:v>0.142</c:v>
                </c:pt>
                <c:pt idx="10" c:formatCode="General">
                  <c:v>0.058</c:v>
                </c:pt>
                <c:pt idx="11" c:formatCode="General">
                  <c:v>0.025</c:v>
                </c:pt>
                <c:pt idx="12" c:formatCode="General">
                  <c:v>0.004</c:v>
                </c:pt>
              </c:numCache>
            </c:numRef>
          </c:val>
          <c:smooth val="0"/>
        </c:ser>
        <c:ser>
          <c:idx val="2"/>
          <c:order val="2"/>
          <c:tx>
            <c:strRef>
              <c:f>[1]OR!$B$14</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[1]OR!$D$15:$P$15</c:f>
              <c:numCache>
                <c:formatCode>General</c:formatCode>
                <c:ptCount val="13"/>
                <c:pt idx="0" c:formatCode="General">
                  <c:v>1</c:v>
                </c:pt>
                <c:pt idx="1" c:formatCode="General">
                  <c:v>1</c:v>
                </c:pt>
                <c:pt idx="2" c:formatCode="General">
                  <c:v>1</c:v>
                </c:pt>
                <c:pt idx="3" c:formatCode="General">
                  <c:v>0.719</c:v>
                </c:pt>
                <c:pt idx="4" c:formatCode="General">
                  <c:v>0.583</c:v>
                </c:pt>
                <c:pt idx="5" c:formatCode="General">
                  <c:v>0.33175</c:v>
                </c:pt>
                <c:pt idx="6" c:formatCode="General">
                  <c:v>0.15875</c:v>
                </c:pt>
                <c:pt idx="7" c:formatCode="General">
                  <c:v>0.05625</c:v>
                </c:pt>
                <c:pt idx="8" c:formatCode="General">
                  <c:v>0.012</c:v>
                </c:pt>
                <c:pt idx="9" c:formatCode="General">
                  <c:v>0.0015</c:v>
                </c:pt>
                <c:pt idx="10" c:formatCode="General">
                  <c:v>0.0005</c:v>
                </c:pt>
                <c:pt idx="11" c:formatCode="General">
                  <c:v>0</c:v>
                </c:pt>
                <c:pt idx="12" c:formatCode="General">
                  <c:v>0</c:v>
                </c:pt>
              </c:numCache>
            </c:numRef>
          </c:val>
          <c:smooth val="0"/>
        </c:ser>
        <c:ser>
          <c:idx val="5"/>
          <c:order val="3"/>
          <c:tx>
            <c:strRef>
              <c:f>[1]OR!$B$60</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[1]OR!$D$61:$P$61</c:f>
              <c:numCache>
                <c:formatCode>General</c:formatCode>
                <c:ptCount val="13"/>
                <c:pt idx="0" c:formatCode="General">
                  <c:v>1</c:v>
                </c:pt>
                <c:pt idx="1" c:formatCode="General">
                  <c:v>1</c:v>
                </c:pt>
                <c:pt idx="2" c:formatCode="General">
                  <c:v>0.88</c:v>
                </c:pt>
                <c:pt idx="3" c:formatCode="General">
                  <c:v>0.754</c:v>
                </c:pt>
                <c:pt idx="4" c:formatCode="General">
                  <c:v>0.534</c:v>
                </c:pt>
                <c:pt idx="5" c:formatCode="General">
                  <c:v>0.288</c:v>
                </c:pt>
                <c:pt idx="6" c:formatCode="General">
                  <c:v>0.20775</c:v>
                </c:pt>
                <c:pt idx="7" c:formatCode="General">
                  <c:v>0.08025</c:v>
                </c:pt>
                <c:pt idx="8" c:formatCode="General">
                  <c:v>0.028</c:v>
                </c:pt>
                <c:pt idx="9" c:formatCode="General">
                  <c:v>0.00675</c:v>
                </c:pt>
                <c:pt idx="10" c:formatCode="General">
                  <c:v>0.00125</c:v>
                </c:pt>
                <c:pt idx="11" c:formatCode="General">
                  <c:v>0</c:v>
                </c:pt>
                <c:pt idx="12" c:formatCode="General">
                  <c:v>0</c:v>
                </c:pt>
              </c:numCache>
            </c:numRef>
          </c:val>
          <c:smooth val="0"/>
        </c:ser>
        <c:ser>
          <c:idx val="3"/>
          <c:order val="4"/>
          <c:tx>
            <c:strRef>
              <c:f>[1]OR!$B$17</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[1]OR!$D$18:$P$18</c:f>
              <c:numCache>
                <c:formatCode>General</c:formatCode>
                <c:ptCount val="13"/>
                <c:pt idx="0" c:formatCode="General">
                  <c:v>1</c:v>
                </c:pt>
                <c:pt idx="1" c:formatCode="General">
                  <c:v>0.945</c:v>
                </c:pt>
                <c:pt idx="2" c:formatCode="General">
                  <c:v>0.794</c:v>
                </c:pt>
                <c:pt idx="3" c:formatCode="General">
                  <c:v>0.533</c:v>
                </c:pt>
                <c:pt idx="4" c:formatCode="General">
                  <c:v>0.318</c:v>
                </c:pt>
                <c:pt idx="5" c:formatCode="General">
                  <c:v>0.12125</c:v>
                </c:pt>
                <c:pt idx="6" c:formatCode="General">
                  <c:v>0.03225</c:v>
                </c:pt>
                <c:pt idx="7" c:formatCode="General">
                  <c:v>0.00375</c:v>
                </c:pt>
                <c:pt idx="8" c:formatCode="General">
                  <c:v>0</c:v>
                </c:pt>
                <c:pt idx="9" c:formatCode="General">
                  <c:v>0</c:v>
                </c:pt>
                <c:pt idx="10" c:formatCode="General">
                  <c:v>0</c:v>
                </c:pt>
                <c:pt idx="11" c:formatCode="General">
                  <c:v>0</c:v>
                </c:pt>
                <c:pt idx="12" c:formatCode="General">
                  <c:v>0</c:v>
                </c:pt>
              </c:numCache>
            </c:numRef>
          </c:val>
          <c:smooth val="0"/>
        </c:ser>
        <c:ser>
          <c:idx val="4"/>
          <c:order val="5"/>
          <c:tx>
            <c:strRef>
              <c:f>[1]OR!$B$63</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[1]OR!$D$64:$P$64</c:f>
              <c:numCache>
                <c:formatCode>General</c:formatCode>
                <c:ptCount val="13"/>
                <c:pt idx="0" c:formatCode="General">
                  <c:v>1</c:v>
                </c:pt>
                <c:pt idx="1" c:formatCode="General">
                  <c:v>0.972</c:v>
                </c:pt>
                <c:pt idx="2" c:formatCode="General">
                  <c:v>0.815</c:v>
                </c:pt>
                <c:pt idx="3" c:formatCode="General">
                  <c:v>0.536</c:v>
                </c:pt>
                <c:pt idx="4" c:formatCode="General">
                  <c:v>0.2475</c:v>
                </c:pt>
                <c:pt idx="5" c:formatCode="General">
                  <c:v>0.0865</c:v>
                </c:pt>
                <c:pt idx="6" c:formatCode="General">
                  <c:v>0.018</c:v>
                </c:pt>
                <c:pt idx="7" c:formatCode="General">
                  <c:v>0.00075</c:v>
                </c:pt>
                <c:pt idx="8" c:formatCode="General">
                  <c:v>0</c:v>
                </c:pt>
                <c:pt idx="9" c:formatCode="General">
                  <c:v>0</c:v>
                </c:pt>
                <c:pt idx="10" c:formatCode="General">
                  <c:v>0</c:v>
                </c:pt>
                <c:pt idx="11" c:formatCode="General">
                  <c:v>0</c:v>
                </c:pt>
                <c:pt idx="12" c:formatCode="General">
                  <c:v>0</c:v>
                </c:pt>
              </c:numCache>
            </c:numRef>
          </c:val>
          <c:smooth val="0"/>
        </c:ser>
        <c:ser>
          <c:idx val="6"/>
          <c:order val="6"/>
          <c:tx>
            <c:strRef>
              <c:f>[1]OR!$B$20</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[1]OR!$D$21:$P$21</c:f>
              <c:numCache>
                <c:formatCode>General</c:formatCode>
                <c:ptCount val="13"/>
                <c:pt idx="0" c:formatCode="General">
                  <c:v>0.861</c:v>
                </c:pt>
                <c:pt idx="1" c:formatCode="General">
                  <c:v>0.643</c:v>
                </c:pt>
                <c:pt idx="2" c:formatCode="General">
                  <c:v>0.368</c:v>
                </c:pt>
                <c:pt idx="3" c:formatCode="General">
                  <c:v>0.12625</c:v>
                </c:pt>
                <c:pt idx="4" c:formatCode="General">
                  <c:v>0.02975</c:v>
                </c:pt>
                <c:pt idx="5" c:formatCode="General">
                  <c:v>0.00575</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ser>
          <c:idx val="7"/>
          <c:order val="7"/>
          <c:tx>
            <c:strRef>
              <c:f>[1]OR!$B$66</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[1]OR!$D$67:$P$67</c:f>
              <c:numCache>
                <c:formatCode>General</c:formatCode>
                <c:ptCount val="13"/>
                <c:pt idx="0" c:formatCode="General">
                  <c:v>0.949</c:v>
                </c:pt>
                <c:pt idx="1" c:formatCode="General">
                  <c:v>0.718</c:v>
                </c:pt>
                <c:pt idx="2" c:formatCode="General">
                  <c:v>0.368</c:v>
                </c:pt>
                <c:pt idx="3" c:formatCode="General">
                  <c:v>0.126</c:v>
                </c:pt>
                <c:pt idx="4" c:formatCode="General">
                  <c:v>0.033</c:v>
                </c:pt>
                <c:pt idx="5" c:formatCode="General">
                  <c:v>0.0095</c:v>
                </c:pt>
                <c:pt idx="6" c:formatCode="General">
                  <c:v>0.0025</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dLbls>
          <c:showLegendKey val="0"/>
          <c:showVal val="0"/>
          <c:showCatName val="0"/>
          <c:showSerName val="0"/>
          <c:showPercent val="0"/>
          <c:showBubbleSize val="0"/>
        </c:dLbls>
        <c:hiLowLines/>
        <c:marker val="1"/>
        <c:smooth val="0"/>
        <c:axId val="179753728"/>
        <c:axId val="179755648"/>
      </c:lineChart>
      <c:catAx>
        <c:axId val="179753728"/>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9755648"/>
        <c:crossesAt val="0.000100000000000002"/>
        <c:auto val="1"/>
        <c:lblAlgn val="ctr"/>
        <c:lblOffset val="100"/>
        <c:noMultiLvlLbl val="0"/>
      </c:catAx>
      <c:valAx>
        <c:axId val="179755648"/>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79753728"/>
        <c:crossesAt val="1"/>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Close loop,60+16CRC,DS1000ns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[1]OR!$B$11</c:f>
              <c:strCache>
                <c:ptCount val="1"/>
                <c:pt idx="0">
                  <c:v>wOR_AL1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[1]OR!$D$13:$P$13</c:f>
              <c:numCache>
                <c:formatCode>General</c:formatCode>
                <c:ptCount val="13"/>
                <c:pt idx="0" c:formatCode="General">
                  <c:v>1</c:v>
                </c:pt>
                <c:pt idx="1" c:formatCode="General">
                  <c:v>1</c:v>
                </c:pt>
                <c:pt idx="2" c:formatCode="General">
                  <c:v>0.998</c:v>
                </c:pt>
                <c:pt idx="3" c:formatCode="General">
                  <c:v>0.991</c:v>
                </c:pt>
                <c:pt idx="4" c:formatCode="General">
                  <c:v>0.947</c:v>
                </c:pt>
                <c:pt idx="5" c:formatCode="General">
                  <c:v>0.848</c:v>
                </c:pt>
                <c:pt idx="6" c:formatCode="General">
                  <c:v>0.672</c:v>
                </c:pt>
                <c:pt idx="7" c:formatCode="General">
                  <c:v>0.437</c:v>
                </c:pt>
                <c:pt idx="8" c:formatCode="General">
                  <c:v>0.227</c:v>
                </c:pt>
                <c:pt idx="9" c:formatCode="General">
                  <c:v>0.096</c:v>
                </c:pt>
                <c:pt idx="10" c:formatCode="General">
                  <c:v>0.034</c:v>
                </c:pt>
                <c:pt idx="11" c:formatCode="General">
                  <c:v>0.005</c:v>
                </c:pt>
                <c:pt idx="12" c:formatCode="General">
                  <c:v>0</c:v>
                </c:pt>
              </c:numCache>
            </c:numRef>
          </c:val>
          <c:smooth val="0"/>
        </c:ser>
        <c:ser>
          <c:idx val="1"/>
          <c:order val="1"/>
          <c:tx>
            <c:strRef>
              <c:f>[1]OR!$B$57</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[1]OR!$D$59:$P$59</c:f>
              <c:numCache>
                <c:formatCode>General</c:formatCode>
                <c:ptCount val="13"/>
                <c:pt idx="0" c:formatCode="General">
                  <c:v>1</c:v>
                </c:pt>
                <c:pt idx="1" c:formatCode="General">
                  <c:v>1</c:v>
                </c:pt>
                <c:pt idx="2" c:formatCode="General">
                  <c:v>1</c:v>
                </c:pt>
                <c:pt idx="3" c:formatCode="General">
                  <c:v>1</c:v>
                </c:pt>
                <c:pt idx="4" c:formatCode="General">
                  <c:v>0.983</c:v>
                </c:pt>
                <c:pt idx="5" c:formatCode="General">
                  <c:v>0.926</c:v>
                </c:pt>
                <c:pt idx="6" c:formatCode="General">
                  <c:v>0.795</c:v>
                </c:pt>
                <c:pt idx="7" c:formatCode="General">
                  <c:v>0.618</c:v>
                </c:pt>
                <c:pt idx="8" c:formatCode="General">
                  <c:v>0.395</c:v>
                </c:pt>
                <c:pt idx="9" c:formatCode="General">
                  <c:v>0.193</c:v>
                </c:pt>
                <c:pt idx="10" c:formatCode="General">
                  <c:v>0.0880000000000001</c:v>
                </c:pt>
                <c:pt idx="11" c:formatCode="General">
                  <c:v>0.03</c:v>
                </c:pt>
                <c:pt idx="12" c:formatCode="General">
                  <c:v>0.00800000000000001</c:v>
                </c:pt>
              </c:numCache>
            </c:numRef>
          </c:val>
          <c:smooth val="0"/>
        </c:ser>
        <c:ser>
          <c:idx val="2"/>
          <c:order val="2"/>
          <c:tx>
            <c:strRef>
              <c:f>[1]OR!$B$14</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[1]OR!$D$16:$P$16</c:f>
              <c:numCache>
                <c:formatCode>General</c:formatCode>
                <c:ptCount val="13"/>
                <c:pt idx="0" c:formatCode="General">
                  <c:v>1</c:v>
                </c:pt>
                <c:pt idx="1" c:formatCode="General">
                  <c:v>1</c:v>
                </c:pt>
                <c:pt idx="2" c:formatCode="General">
                  <c:v>1</c:v>
                </c:pt>
                <c:pt idx="3" c:formatCode="General">
                  <c:v>0.864</c:v>
                </c:pt>
                <c:pt idx="4" c:formatCode="General">
                  <c:v>0.681</c:v>
                </c:pt>
                <c:pt idx="5" c:formatCode="General">
                  <c:v>0.367</c:v>
                </c:pt>
                <c:pt idx="6" c:formatCode="General">
                  <c:v>0.15625</c:v>
                </c:pt>
                <c:pt idx="7" c:formatCode="General">
                  <c:v>0.04775</c:v>
                </c:pt>
                <c:pt idx="8" c:formatCode="General">
                  <c:v>0.00875</c:v>
                </c:pt>
                <c:pt idx="9" c:formatCode="General">
                  <c:v>0.001</c:v>
                </c:pt>
                <c:pt idx="10" c:formatCode="General">
                  <c:v>0</c:v>
                </c:pt>
                <c:pt idx="11" c:formatCode="General">
                  <c:v>0</c:v>
                </c:pt>
                <c:pt idx="12" c:formatCode="General">
                  <c:v>0</c:v>
                </c:pt>
              </c:numCache>
            </c:numRef>
          </c:val>
          <c:smooth val="0"/>
        </c:ser>
        <c:ser>
          <c:idx val="5"/>
          <c:order val="3"/>
          <c:tx>
            <c:strRef>
              <c:f>[1]OR!$B$60</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[1]OR!$D$62:$P$62</c:f>
              <c:numCache>
                <c:formatCode>General</c:formatCode>
                <c:ptCount val="13"/>
                <c:pt idx="0" c:formatCode="General">
                  <c:v>1</c:v>
                </c:pt>
                <c:pt idx="1" c:formatCode="General">
                  <c:v>1</c:v>
                </c:pt>
                <c:pt idx="2" c:formatCode="General">
                  <c:v>1</c:v>
                </c:pt>
                <c:pt idx="3" c:formatCode="General">
                  <c:v>0.91</c:v>
                </c:pt>
                <c:pt idx="4" c:formatCode="General">
                  <c:v>0.702</c:v>
                </c:pt>
                <c:pt idx="5" c:formatCode="General">
                  <c:v>0.395</c:v>
                </c:pt>
                <c:pt idx="6" c:formatCode="General">
                  <c:v>0.15375</c:v>
                </c:pt>
                <c:pt idx="7" c:formatCode="General">
                  <c:v>0.03725</c:v>
                </c:pt>
                <c:pt idx="8" c:formatCode="General">
                  <c:v>0.00825</c:v>
                </c:pt>
                <c:pt idx="9" c:formatCode="General">
                  <c:v>0.00075</c:v>
                </c:pt>
                <c:pt idx="10" c:formatCode="General">
                  <c:v>0</c:v>
                </c:pt>
                <c:pt idx="11" c:formatCode="General">
                  <c:v>0</c:v>
                </c:pt>
                <c:pt idx="12" c:formatCode="General">
                  <c:v>0</c:v>
                </c:pt>
              </c:numCache>
            </c:numRef>
          </c:val>
          <c:smooth val="0"/>
        </c:ser>
        <c:ser>
          <c:idx val="3"/>
          <c:order val="4"/>
          <c:tx>
            <c:strRef>
              <c:f>[1]OR!$B$17</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[1]OR!$D$19:$P$19</c:f>
              <c:numCache>
                <c:formatCode>General</c:formatCode>
                <c:ptCount val="13"/>
                <c:pt idx="0" c:formatCode="General">
                  <c:v>1</c:v>
                </c:pt>
                <c:pt idx="1" c:formatCode="General">
                  <c:v>0.961</c:v>
                </c:pt>
                <c:pt idx="2" c:formatCode="General">
                  <c:v>0.764</c:v>
                </c:pt>
                <c:pt idx="3" c:formatCode="General">
                  <c:v>0.457</c:v>
                </c:pt>
                <c:pt idx="4" c:formatCode="General">
                  <c:v>0.2</c:v>
                </c:pt>
                <c:pt idx="5" c:formatCode="General">
                  <c:v>0.05825</c:v>
                </c:pt>
                <c:pt idx="6" c:formatCode="General">
                  <c:v>0.0085</c:v>
                </c:pt>
                <c:pt idx="7" c:formatCode="General">
                  <c:v>0.00125</c:v>
                </c:pt>
                <c:pt idx="8" c:formatCode="General">
                  <c:v>0</c:v>
                </c:pt>
                <c:pt idx="9" c:formatCode="General">
                  <c:v>0</c:v>
                </c:pt>
                <c:pt idx="10" c:formatCode="General">
                  <c:v>0</c:v>
                </c:pt>
                <c:pt idx="11" c:formatCode="General">
                  <c:v>0</c:v>
                </c:pt>
                <c:pt idx="12" c:formatCode="General">
                  <c:v>0</c:v>
                </c:pt>
              </c:numCache>
            </c:numRef>
          </c:val>
          <c:smooth val="0"/>
        </c:ser>
        <c:ser>
          <c:idx val="4"/>
          <c:order val="5"/>
          <c:tx>
            <c:strRef>
              <c:f>[1]OR!$B$63</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[1]OR!$D$65:$P$65</c:f>
              <c:numCache>
                <c:formatCode>General</c:formatCode>
                <c:ptCount val="13"/>
                <c:pt idx="0" c:formatCode="General">
                  <c:v>1</c:v>
                </c:pt>
                <c:pt idx="1" c:formatCode="General">
                  <c:v>0.983</c:v>
                </c:pt>
                <c:pt idx="2" c:formatCode="General">
                  <c:v>0.882</c:v>
                </c:pt>
                <c:pt idx="3" c:formatCode="General">
                  <c:v>0.602</c:v>
                </c:pt>
                <c:pt idx="4" c:formatCode="General">
                  <c:v>0.29</c:v>
                </c:pt>
                <c:pt idx="5" c:formatCode="General">
                  <c:v>0.0645</c:v>
                </c:pt>
                <c:pt idx="6" c:formatCode="General">
                  <c:v>0.00975</c:v>
                </c:pt>
                <c:pt idx="7" c:formatCode="General">
                  <c:v>0.00025</c:v>
                </c:pt>
                <c:pt idx="8" c:formatCode="General">
                  <c:v>0</c:v>
                </c:pt>
                <c:pt idx="9" c:formatCode="General">
                  <c:v>0</c:v>
                </c:pt>
                <c:pt idx="10" c:formatCode="General">
                  <c:v>0</c:v>
                </c:pt>
                <c:pt idx="11" c:formatCode="General">
                  <c:v>0</c:v>
                </c:pt>
                <c:pt idx="12" c:formatCode="General">
                  <c:v>0</c:v>
                </c:pt>
              </c:numCache>
            </c:numRef>
          </c:val>
          <c:smooth val="0"/>
        </c:ser>
        <c:ser>
          <c:idx val="6"/>
          <c:order val="6"/>
          <c:tx>
            <c:strRef>
              <c:f>[1]OR!$B$20</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[1]OR!$D$22:$P$22</c:f>
              <c:numCache>
                <c:formatCode>General</c:formatCode>
                <c:ptCount val="13"/>
                <c:pt idx="0" c:formatCode="General">
                  <c:v>0.865</c:v>
                </c:pt>
                <c:pt idx="1" c:formatCode="General">
                  <c:v>0.541</c:v>
                </c:pt>
                <c:pt idx="2" c:formatCode="General">
                  <c:v>0.2975</c:v>
                </c:pt>
                <c:pt idx="3" c:formatCode="General">
                  <c:v>0.09375</c:v>
                </c:pt>
                <c:pt idx="4" c:formatCode="General">
                  <c:v>0.0115</c:v>
                </c:pt>
                <c:pt idx="5" c:formatCode="General">
                  <c:v>0</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ser>
          <c:idx val="7"/>
          <c:order val="7"/>
          <c:tx>
            <c:strRef>
              <c:f>[1]OR!$B$66</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[1]OR!$D$68:$P$68</c:f>
              <c:numCache>
                <c:formatCode>General</c:formatCode>
                <c:ptCount val="13"/>
                <c:pt idx="0" c:formatCode="General">
                  <c:v>0.945</c:v>
                </c:pt>
                <c:pt idx="1" c:formatCode="General">
                  <c:v>0.698</c:v>
                </c:pt>
                <c:pt idx="2" c:formatCode="General">
                  <c:v>0.3765</c:v>
                </c:pt>
                <c:pt idx="3" c:formatCode="General">
                  <c:v>0.084</c:v>
                </c:pt>
                <c:pt idx="4" c:formatCode="General">
                  <c:v>0.007</c:v>
                </c:pt>
                <c:pt idx="5" c:formatCode="General">
                  <c:v>0</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dLbls>
          <c:showLegendKey val="0"/>
          <c:showVal val="0"/>
          <c:showCatName val="0"/>
          <c:showSerName val="0"/>
          <c:showPercent val="0"/>
          <c:showBubbleSize val="0"/>
        </c:dLbls>
        <c:hiLowLines/>
        <c:marker val="1"/>
        <c:smooth val="0"/>
        <c:axId val="185852672"/>
        <c:axId val="185854592"/>
      </c:lineChart>
      <c:catAx>
        <c:axId val="185852672"/>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854592"/>
        <c:crossesAt val="0.000100000000000002"/>
        <c:auto val="1"/>
        <c:lblAlgn val="ctr"/>
        <c:lblOffset val="100"/>
        <c:noMultiLvlLbl val="0"/>
      </c:catAx>
      <c:valAx>
        <c:axId val="185854592"/>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852672"/>
        <c:crossesAt val="1"/>
        <c:crossBetween val="between"/>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Precoder cycling,60+16CRC,DS30ns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[1]OR!$B$34</c:f>
              <c:strCache>
                <c:ptCount val="1"/>
                <c:pt idx="0">
                  <c:v>wOR__AL1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[1]OR!$D$34:$P$34</c:f>
              <c:numCache>
                <c:formatCode>General</c:formatCode>
                <c:ptCount val="13"/>
                <c:pt idx="0" c:formatCode="General">
                  <c:v>1</c:v>
                </c:pt>
                <c:pt idx="1" c:formatCode="General">
                  <c:v>1</c:v>
                </c:pt>
                <c:pt idx="2" c:formatCode="General">
                  <c:v>1</c:v>
                </c:pt>
                <c:pt idx="3" c:formatCode="General">
                  <c:v>0.999</c:v>
                </c:pt>
                <c:pt idx="4" c:formatCode="General">
                  <c:v>0.979</c:v>
                </c:pt>
                <c:pt idx="5" c:formatCode="General">
                  <c:v>0.906</c:v>
                </c:pt>
                <c:pt idx="6" c:formatCode="General">
                  <c:v>0.751</c:v>
                </c:pt>
                <c:pt idx="7" c:formatCode="General">
                  <c:v>0.516</c:v>
                </c:pt>
                <c:pt idx="8" c:formatCode="General">
                  <c:v>0.266</c:v>
                </c:pt>
                <c:pt idx="9" c:formatCode="General">
                  <c:v>0.13</c:v>
                </c:pt>
                <c:pt idx="10" c:formatCode="General">
                  <c:v>0.049</c:v>
                </c:pt>
                <c:pt idx="11" c:formatCode="General">
                  <c:v>0.026</c:v>
                </c:pt>
                <c:pt idx="12" c:formatCode="General">
                  <c:v>0.01</c:v>
                </c:pt>
              </c:numCache>
            </c:numRef>
          </c:val>
          <c:smooth val="0"/>
        </c:ser>
        <c:ser>
          <c:idx val="1"/>
          <c:order val="1"/>
          <c:tx>
            <c:strRef>
              <c:f>[1]OR!$B$80</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[1]OR!$D$80:$P$80</c:f>
              <c:numCache>
                <c:formatCode>General</c:formatCode>
                <c:ptCount val="13"/>
                <c:pt idx="0" c:formatCode="General">
                  <c:v>1</c:v>
                </c:pt>
                <c:pt idx="1" c:formatCode="General">
                  <c:v>1</c:v>
                </c:pt>
                <c:pt idx="2" c:formatCode="General">
                  <c:v>1</c:v>
                </c:pt>
                <c:pt idx="3" c:formatCode="General">
                  <c:v>1</c:v>
                </c:pt>
                <c:pt idx="4" c:formatCode="General">
                  <c:v>0.999</c:v>
                </c:pt>
                <c:pt idx="5" c:formatCode="General">
                  <c:v>0.97</c:v>
                </c:pt>
                <c:pt idx="6" c:formatCode="General">
                  <c:v>0.893</c:v>
                </c:pt>
                <c:pt idx="7" c:formatCode="General">
                  <c:v>0.711</c:v>
                </c:pt>
                <c:pt idx="8" c:formatCode="General">
                  <c:v>0.453</c:v>
                </c:pt>
                <c:pt idx="9" c:formatCode="General">
                  <c:v>0.229</c:v>
                </c:pt>
                <c:pt idx="10" c:formatCode="General">
                  <c:v>0.107</c:v>
                </c:pt>
                <c:pt idx="11" c:formatCode="General">
                  <c:v>0.034</c:v>
                </c:pt>
                <c:pt idx="12" c:formatCode="General">
                  <c:v>0.021</c:v>
                </c:pt>
              </c:numCache>
            </c:numRef>
          </c:val>
          <c:smooth val="0"/>
        </c:ser>
        <c:ser>
          <c:idx val="2"/>
          <c:order val="2"/>
          <c:tx>
            <c:strRef>
              <c:f>[1]OR!$B$37</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[1]OR!$D$37:$P$37</c:f>
              <c:numCache>
                <c:formatCode>General</c:formatCode>
                <c:ptCount val="13"/>
                <c:pt idx="0" c:formatCode="General">
                  <c:v>1</c:v>
                </c:pt>
                <c:pt idx="1" c:formatCode="General">
                  <c:v>1</c:v>
                </c:pt>
                <c:pt idx="2" c:formatCode="General">
                  <c:v>0.976</c:v>
                </c:pt>
                <c:pt idx="3" c:formatCode="General">
                  <c:v>0.855</c:v>
                </c:pt>
                <c:pt idx="4" c:formatCode="General">
                  <c:v>0.52</c:v>
                </c:pt>
                <c:pt idx="5" c:formatCode="General">
                  <c:v>0.235</c:v>
                </c:pt>
                <c:pt idx="6" c:formatCode="General">
                  <c:v>0.0725</c:v>
                </c:pt>
                <c:pt idx="7" c:formatCode="General">
                  <c:v>0.02075</c:v>
                </c:pt>
                <c:pt idx="8" c:formatCode="General">
                  <c:v>0.00475</c:v>
                </c:pt>
                <c:pt idx="9" c:formatCode="General">
                  <c:v>0.00075</c:v>
                </c:pt>
                <c:pt idx="10" c:formatCode="General">
                  <c:v>0</c:v>
                </c:pt>
                <c:pt idx="11" c:formatCode="General">
                  <c:v>0</c:v>
                </c:pt>
                <c:pt idx="12" c:formatCode="General">
                  <c:v>0</c:v>
                </c:pt>
              </c:numCache>
            </c:numRef>
          </c:val>
          <c:smooth val="0"/>
        </c:ser>
        <c:ser>
          <c:idx val="5"/>
          <c:order val="3"/>
          <c:tx>
            <c:strRef>
              <c:f>[1]OR!$B$83</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[1]OR!$D$83:$P$83</c:f>
              <c:numCache>
                <c:formatCode>General</c:formatCode>
                <c:ptCount val="13"/>
                <c:pt idx="0" c:formatCode="General">
                  <c:v>1</c:v>
                </c:pt>
                <c:pt idx="1" c:formatCode="General">
                  <c:v>1</c:v>
                </c:pt>
                <c:pt idx="2" c:formatCode="General">
                  <c:v>0.995</c:v>
                </c:pt>
                <c:pt idx="3" c:formatCode="General">
                  <c:v>0.934</c:v>
                </c:pt>
                <c:pt idx="4" c:formatCode="General">
                  <c:v>0.716</c:v>
                </c:pt>
                <c:pt idx="5" c:formatCode="General">
                  <c:v>0.3905</c:v>
                </c:pt>
                <c:pt idx="6" c:formatCode="General">
                  <c:v>0.1545</c:v>
                </c:pt>
                <c:pt idx="7" c:formatCode="General">
                  <c:v>0.047</c:v>
                </c:pt>
                <c:pt idx="8" c:formatCode="General">
                  <c:v>0.0065</c:v>
                </c:pt>
                <c:pt idx="9" c:formatCode="General">
                  <c:v>0.001</c:v>
                </c:pt>
                <c:pt idx="10" c:formatCode="General">
                  <c:v>0</c:v>
                </c:pt>
                <c:pt idx="11" c:formatCode="General">
                  <c:v>0</c:v>
                </c:pt>
                <c:pt idx="12" c:formatCode="General">
                  <c:v>0</c:v>
                </c:pt>
              </c:numCache>
            </c:numRef>
          </c:val>
          <c:smooth val="0"/>
        </c:ser>
        <c:ser>
          <c:idx val="3"/>
          <c:order val="4"/>
          <c:tx>
            <c:strRef>
              <c:f>[1]OR!$B$40</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[1]OR!$D$40:$P$40</c:f>
              <c:numCache>
                <c:formatCode>General</c:formatCode>
                <c:ptCount val="13"/>
                <c:pt idx="0" c:formatCode="General">
                  <c:v>1</c:v>
                </c:pt>
                <c:pt idx="1" c:formatCode="General">
                  <c:v>0.969</c:v>
                </c:pt>
                <c:pt idx="2" c:formatCode="General">
                  <c:v>0.815</c:v>
                </c:pt>
                <c:pt idx="3" c:formatCode="General">
                  <c:v>0.547</c:v>
                </c:pt>
                <c:pt idx="4" c:formatCode="General">
                  <c:v>0.1805</c:v>
                </c:pt>
                <c:pt idx="5" c:formatCode="General">
                  <c:v>0.053</c:v>
                </c:pt>
                <c:pt idx="6" c:formatCode="General">
                  <c:v>0.015</c:v>
                </c:pt>
                <c:pt idx="7" c:formatCode="General">
                  <c:v>0.00375</c:v>
                </c:pt>
                <c:pt idx="8" c:formatCode="General">
                  <c:v>0.0005</c:v>
                </c:pt>
                <c:pt idx="9" c:formatCode="General">
                  <c:v>0</c:v>
                </c:pt>
                <c:pt idx="10" c:formatCode="General">
                  <c:v>0</c:v>
                </c:pt>
                <c:pt idx="11" c:formatCode="General">
                  <c:v>0</c:v>
                </c:pt>
                <c:pt idx="12" c:formatCode="General">
                  <c:v>0</c:v>
                </c:pt>
              </c:numCache>
            </c:numRef>
          </c:val>
          <c:smooth val="0"/>
        </c:ser>
        <c:ser>
          <c:idx val="4"/>
          <c:order val="5"/>
          <c:tx>
            <c:strRef>
              <c:f>[1]OR!$B$86</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[1]OR!$D$86:$P$86</c:f>
              <c:numCache>
                <c:formatCode>General</c:formatCode>
                <c:ptCount val="13"/>
                <c:pt idx="0" c:formatCode="General">
                  <c:v>1</c:v>
                </c:pt>
                <c:pt idx="1" c:formatCode="General">
                  <c:v>0.986</c:v>
                </c:pt>
                <c:pt idx="2" c:formatCode="General">
                  <c:v>0.851</c:v>
                </c:pt>
                <c:pt idx="3" c:formatCode="General">
                  <c:v>0.583</c:v>
                </c:pt>
                <c:pt idx="4" c:formatCode="General">
                  <c:v>0.20025</c:v>
                </c:pt>
                <c:pt idx="5" c:formatCode="General">
                  <c:v>0.06425</c:v>
                </c:pt>
                <c:pt idx="6" c:formatCode="General">
                  <c:v>0.01525</c:v>
                </c:pt>
                <c:pt idx="7" c:formatCode="General">
                  <c:v>0.00475</c:v>
                </c:pt>
                <c:pt idx="8" c:formatCode="General">
                  <c:v>0</c:v>
                </c:pt>
                <c:pt idx="9" c:formatCode="General">
                  <c:v>0</c:v>
                </c:pt>
                <c:pt idx="10" c:formatCode="General">
                  <c:v>0</c:v>
                </c:pt>
                <c:pt idx="11" c:formatCode="General">
                  <c:v>0</c:v>
                </c:pt>
                <c:pt idx="12" c:formatCode="General">
                  <c:v>0</c:v>
                </c:pt>
              </c:numCache>
            </c:numRef>
          </c:val>
          <c:smooth val="0"/>
        </c:ser>
        <c:ser>
          <c:idx val="6"/>
          <c:order val="6"/>
          <c:tx>
            <c:strRef>
              <c:f>[1]OR!$B$43</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[1]OR!$D$43:$P$43</c:f>
              <c:numCache>
                <c:formatCode>General</c:formatCode>
                <c:ptCount val="13"/>
                <c:pt idx="0" c:formatCode="General">
                  <c:v>0.971</c:v>
                </c:pt>
                <c:pt idx="1" c:formatCode="General">
                  <c:v>0.815</c:v>
                </c:pt>
                <c:pt idx="2" c:formatCode="General">
                  <c:v>0.446</c:v>
                </c:pt>
                <c:pt idx="3" c:formatCode="General">
                  <c:v>0.14875</c:v>
                </c:pt>
                <c:pt idx="4" c:formatCode="General">
                  <c:v>0.04575</c:v>
                </c:pt>
                <c:pt idx="5" c:formatCode="General">
                  <c:v>0.01125</c:v>
                </c:pt>
                <c:pt idx="6" c:formatCode="General">
                  <c:v>0.00275</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ser>
          <c:idx val="7"/>
          <c:order val="7"/>
          <c:tx>
            <c:strRef>
              <c:f>[1]OR!$B$89</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[1]OR!$D$89:$P$89</c:f>
              <c:numCache>
                <c:formatCode>General</c:formatCode>
                <c:ptCount val="13"/>
                <c:pt idx="0" c:formatCode="General">
                  <c:v>0.977</c:v>
                </c:pt>
                <c:pt idx="1" c:formatCode="General">
                  <c:v>0.806</c:v>
                </c:pt>
                <c:pt idx="2" c:formatCode="General">
                  <c:v>0.508</c:v>
                </c:pt>
                <c:pt idx="3" c:formatCode="General">
                  <c:v>0.217</c:v>
                </c:pt>
                <c:pt idx="4" c:formatCode="General">
                  <c:v>0.0455</c:v>
                </c:pt>
                <c:pt idx="5" c:formatCode="General">
                  <c:v>0.004</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dLbls>
          <c:showLegendKey val="0"/>
          <c:showVal val="0"/>
          <c:showCatName val="0"/>
          <c:showSerName val="0"/>
          <c:showPercent val="0"/>
          <c:showBubbleSize val="0"/>
        </c:dLbls>
        <c:hiLowLines/>
        <c:marker val="1"/>
        <c:smooth val="0"/>
        <c:axId val="185905536"/>
        <c:axId val="185907456"/>
      </c:lineChart>
      <c:catAx>
        <c:axId val="185905536"/>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907456"/>
        <c:crossesAt val="0.000100000000000002"/>
        <c:auto val="1"/>
        <c:lblAlgn val="ctr"/>
        <c:lblOffset val="100"/>
        <c:noMultiLvlLbl val="0"/>
      </c:catAx>
      <c:valAx>
        <c:axId val="185907456"/>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905536"/>
        <c:crossesAt val="1"/>
        <c:crossBetween val="between"/>
      </c:valAx>
    </c:plotArea>
    <c:legend>
      <c:legendPos val="r"/>
      <c:layout>
        <c:manualLayout>
          <c:xMode val="edge"/>
          <c:yMode val="edge"/>
          <c:x val="0.76414879174586"/>
          <c:y val="0.113623857362657"/>
          <c:w val="0.222714919255783"/>
          <c:h val="0.722847919872086"/>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Precoder cycling,60+16CRC,DS300ns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[1]OR!$B$34</c:f>
              <c:strCache>
                <c:ptCount val="1"/>
                <c:pt idx="0">
                  <c:v>wOR__AL1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[1]OR!$D$35:$P$35</c:f>
              <c:numCache>
                <c:formatCode>General</c:formatCode>
                <c:ptCount val="13"/>
                <c:pt idx="0" c:formatCode="General">
                  <c:v>1</c:v>
                </c:pt>
                <c:pt idx="1" c:formatCode="General">
                  <c:v>1</c:v>
                </c:pt>
                <c:pt idx="2" c:formatCode="General">
                  <c:v>1</c:v>
                </c:pt>
                <c:pt idx="3" c:formatCode="General">
                  <c:v>0.997</c:v>
                </c:pt>
                <c:pt idx="4" c:formatCode="General">
                  <c:v>0.939</c:v>
                </c:pt>
                <c:pt idx="5" c:formatCode="General">
                  <c:v>0.788</c:v>
                </c:pt>
                <c:pt idx="6" c:formatCode="General">
                  <c:v>0.585</c:v>
                </c:pt>
                <c:pt idx="7" c:formatCode="General">
                  <c:v>0.395</c:v>
                </c:pt>
                <c:pt idx="8" c:formatCode="General">
                  <c:v>0.244</c:v>
                </c:pt>
                <c:pt idx="9" c:formatCode="General">
                  <c:v>0.152</c:v>
                </c:pt>
                <c:pt idx="10" c:formatCode="General">
                  <c:v>0.081</c:v>
                </c:pt>
                <c:pt idx="11" c:formatCode="General">
                  <c:v>0.034</c:v>
                </c:pt>
                <c:pt idx="12" c:formatCode="General">
                  <c:v>0.004</c:v>
                </c:pt>
              </c:numCache>
            </c:numRef>
          </c:val>
          <c:smooth val="0"/>
        </c:ser>
        <c:ser>
          <c:idx val="1"/>
          <c:order val="1"/>
          <c:tx>
            <c:strRef>
              <c:f>[1]OR!$B$80</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[1]OR!$D$81:$P$81</c:f>
              <c:numCache>
                <c:formatCode>General</c:formatCode>
                <c:ptCount val="13"/>
                <c:pt idx="0" c:formatCode="General">
                  <c:v>1</c:v>
                </c:pt>
                <c:pt idx="1" c:formatCode="General">
                  <c:v>1</c:v>
                </c:pt>
                <c:pt idx="2" c:formatCode="General">
                  <c:v>1</c:v>
                </c:pt>
                <c:pt idx="3" c:formatCode="General">
                  <c:v>1</c:v>
                </c:pt>
                <c:pt idx="4" c:formatCode="General">
                  <c:v>0.989</c:v>
                </c:pt>
                <c:pt idx="5" c:formatCode="General">
                  <c:v>0.923</c:v>
                </c:pt>
                <c:pt idx="6" c:formatCode="General">
                  <c:v>0.739</c:v>
                </c:pt>
                <c:pt idx="7" c:formatCode="General">
                  <c:v>0.553</c:v>
                </c:pt>
                <c:pt idx="8" c:formatCode="General">
                  <c:v>0.376</c:v>
                </c:pt>
                <c:pt idx="9" c:formatCode="General">
                  <c:v>0.23</c:v>
                </c:pt>
                <c:pt idx="10" c:formatCode="General">
                  <c:v>0.136</c:v>
                </c:pt>
                <c:pt idx="11" c:formatCode="General">
                  <c:v>0.075</c:v>
                </c:pt>
                <c:pt idx="12" c:formatCode="General">
                  <c:v>0.027</c:v>
                </c:pt>
              </c:numCache>
            </c:numRef>
          </c:val>
          <c:smooth val="0"/>
        </c:ser>
        <c:ser>
          <c:idx val="2"/>
          <c:order val="2"/>
          <c:tx>
            <c:strRef>
              <c:f>[1]OR!$B$37</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[1]OR!$D$38:$P$38</c:f>
              <c:numCache>
                <c:formatCode>General</c:formatCode>
                <c:ptCount val="13"/>
                <c:pt idx="0" c:formatCode="General">
                  <c:v>1</c:v>
                </c:pt>
                <c:pt idx="1" c:formatCode="General">
                  <c:v>1</c:v>
                </c:pt>
                <c:pt idx="2" c:formatCode="General">
                  <c:v>1</c:v>
                </c:pt>
                <c:pt idx="3" c:formatCode="General">
                  <c:v>0.9315</c:v>
                </c:pt>
                <c:pt idx="4" c:formatCode="General">
                  <c:v>0.659</c:v>
                </c:pt>
                <c:pt idx="5" c:formatCode="General">
                  <c:v>0.35925</c:v>
                </c:pt>
                <c:pt idx="6" c:formatCode="General">
                  <c:v>0.1245</c:v>
                </c:pt>
                <c:pt idx="7" c:formatCode="General">
                  <c:v>0.0355</c:v>
                </c:pt>
                <c:pt idx="8" c:formatCode="General">
                  <c:v>0.0105</c:v>
                </c:pt>
                <c:pt idx="9" c:formatCode="General">
                  <c:v>0.00175</c:v>
                </c:pt>
                <c:pt idx="10" c:formatCode="General">
                  <c:v>0.00025</c:v>
                </c:pt>
                <c:pt idx="11" c:formatCode="General">
                  <c:v>0</c:v>
                </c:pt>
                <c:pt idx="12" c:formatCode="General">
                  <c:v>0</c:v>
                </c:pt>
              </c:numCache>
            </c:numRef>
          </c:val>
          <c:smooth val="0"/>
        </c:ser>
        <c:ser>
          <c:idx val="5"/>
          <c:order val="3"/>
          <c:tx>
            <c:strRef>
              <c:f>[1]OR!$B$83</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[1]OR!$D$84:$P$84</c:f>
              <c:numCache>
                <c:formatCode>General</c:formatCode>
                <c:ptCount val="13"/>
                <c:pt idx="0" c:formatCode="General">
                  <c:v>1</c:v>
                </c:pt>
                <c:pt idx="1" c:formatCode="General">
                  <c:v>1</c:v>
                </c:pt>
                <c:pt idx="2" c:formatCode="General">
                  <c:v>1</c:v>
                </c:pt>
                <c:pt idx="3" c:formatCode="General">
                  <c:v>0.934</c:v>
                </c:pt>
                <c:pt idx="4" c:formatCode="General">
                  <c:v>0.699</c:v>
                </c:pt>
                <c:pt idx="5" c:formatCode="General">
                  <c:v>0.309</c:v>
                </c:pt>
                <c:pt idx="6" c:formatCode="General">
                  <c:v>0.1145</c:v>
                </c:pt>
                <c:pt idx="7" c:formatCode="General">
                  <c:v>0.0265</c:v>
                </c:pt>
                <c:pt idx="8" c:formatCode="General">
                  <c:v>0.001</c:v>
                </c:pt>
                <c:pt idx="9" c:formatCode="General">
                  <c:v>0</c:v>
                </c:pt>
                <c:pt idx="10" c:formatCode="General">
                  <c:v>0</c:v>
                </c:pt>
                <c:pt idx="11" c:formatCode="General">
                  <c:v>0</c:v>
                </c:pt>
                <c:pt idx="12" c:formatCode="General">
                  <c:v>0</c:v>
                </c:pt>
              </c:numCache>
            </c:numRef>
          </c:val>
          <c:smooth val="0"/>
        </c:ser>
        <c:ser>
          <c:idx val="3"/>
          <c:order val="4"/>
          <c:tx>
            <c:strRef>
              <c:f>[1]OR!$B$40</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[1]OR!$D$41:$P$41</c:f>
              <c:numCache>
                <c:formatCode>General</c:formatCode>
                <c:ptCount val="13"/>
                <c:pt idx="0" c:formatCode="General">
                  <c:v>1</c:v>
                </c:pt>
                <c:pt idx="1" c:formatCode="General">
                  <c:v>0.955</c:v>
                </c:pt>
                <c:pt idx="2" c:formatCode="General">
                  <c:v>0.753</c:v>
                </c:pt>
                <c:pt idx="3" c:formatCode="General">
                  <c:v>0.392</c:v>
                </c:pt>
                <c:pt idx="4" c:formatCode="General">
                  <c:v>0.21475</c:v>
                </c:pt>
                <c:pt idx="5" c:formatCode="General">
                  <c:v>0.05025</c:v>
                </c:pt>
                <c:pt idx="6" c:formatCode="General">
                  <c:v>0.0145</c:v>
                </c:pt>
                <c:pt idx="7" c:formatCode="General">
                  <c:v>0.00175</c:v>
                </c:pt>
                <c:pt idx="8" c:formatCode="General">
                  <c:v>0.00025</c:v>
                </c:pt>
                <c:pt idx="9" c:formatCode="General">
                  <c:v>0</c:v>
                </c:pt>
                <c:pt idx="10" c:formatCode="General">
                  <c:v>0</c:v>
                </c:pt>
                <c:pt idx="11" c:formatCode="General">
                  <c:v>0</c:v>
                </c:pt>
                <c:pt idx="12" c:formatCode="General">
                  <c:v>0</c:v>
                </c:pt>
              </c:numCache>
            </c:numRef>
          </c:val>
          <c:smooth val="0"/>
        </c:ser>
        <c:ser>
          <c:idx val="4"/>
          <c:order val="5"/>
          <c:tx>
            <c:strRef>
              <c:f>[1]OR!$B$86</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[1]OR!$D$87:$P$87</c:f>
              <c:numCache>
                <c:formatCode>General</c:formatCode>
                <c:ptCount val="13"/>
                <c:pt idx="0" c:formatCode="General">
                  <c:v>1</c:v>
                </c:pt>
                <c:pt idx="1" c:formatCode="General">
                  <c:v>0.995</c:v>
                </c:pt>
                <c:pt idx="2" c:formatCode="General">
                  <c:v>0.923</c:v>
                </c:pt>
                <c:pt idx="3" c:formatCode="General">
                  <c:v>0.634</c:v>
                </c:pt>
                <c:pt idx="4" c:formatCode="General">
                  <c:v>0.25925</c:v>
                </c:pt>
                <c:pt idx="5" c:formatCode="General">
                  <c:v>0.06425</c:v>
                </c:pt>
                <c:pt idx="6" c:formatCode="General">
                  <c:v>0.007</c:v>
                </c:pt>
                <c:pt idx="7" c:formatCode="General">
                  <c:v>0.00025</c:v>
                </c:pt>
                <c:pt idx="8" c:formatCode="General">
                  <c:v>0</c:v>
                </c:pt>
                <c:pt idx="9" c:formatCode="General">
                  <c:v>0</c:v>
                </c:pt>
                <c:pt idx="10" c:formatCode="General">
                  <c:v>0</c:v>
                </c:pt>
                <c:pt idx="11" c:formatCode="General">
                  <c:v>0</c:v>
                </c:pt>
                <c:pt idx="12" c:formatCode="General">
                  <c:v>0</c:v>
                </c:pt>
              </c:numCache>
            </c:numRef>
          </c:val>
          <c:smooth val="0"/>
        </c:ser>
        <c:ser>
          <c:idx val="6"/>
          <c:order val="6"/>
          <c:tx>
            <c:strRef>
              <c:f>[1]OR!$B$43</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[1]OR!$D$44:$P$44</c:f>
              <c:numCache>
                <c:formatCode>General</c:formatCode>
                <c:ptCount val="13"/>
                <c:pt idx="0" c:formatCode="General">
                  <c:v>0.963</c:v>
                </c:pt>
                <c:pt idx="1" c:formatCode="General">
                  <c:v>0.805</c:v>
                </c:pt>
                <c:pt idx="2" c:formatCode="General">
                  <c:v>0.4905</c:v>
                </c:pt>
                <c:pt idx="3" c:formatCode="General">
                  <c:v>0.133</c:v>
                </c:pt>
                <c:pt idx="4" c:formatCode="General">
                  <c:v>0.0265</c:v>
                </c:pt>
                <c:pt idx="5" c:formatCode="General">
                  <c:v>0.00225</c:v>
                </c:pt>
                <c:pt idx="6" c:formatCode="General">
                  <c:v>0.00025</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ser>
          <c:idx val="7"/>
          <c:order val="7"/>
          <c:tx>
            <c:strRef>
              <c:f>[1]OR!$B$89</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[1]OR!$D$90:$P$90</c:f>
              <c:numCache>
                <c:formatCode>General</c:formatCode>
                <c:ptCount val="13"/>
                <c:pt idx="0" c:formatCode="General">
                  <c:v>0.89</c:v>
                </c:pt>
                <c:pt idx="1" c:formatCode="General">
                  <c:v>0.599</c:v>
                </c:pt>
                <c:pt idx="2" c:formatCode="General">
                  <c:v>0.253</c:v>
                </c:pt>
                <c:pt idx="3" c:formatCode="General">
                  <c:v>0.058</c:v>
                </c:pt>
                <c:pt idx="4" c:formatCode="General">
                  <c:v>0.015</c:v>
                </c:pt>
                <c:pt idx="5" c:formatCode="General">
                  <c:v>0.0005</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dLbls>
          <c:showLegendKey val="0"/>
          <c:showVal val="0"/>
          <c:showCatName val="0"/>
          <c:showSerName val="0"/>
          <c:showPercent val="0"/>
          <c:showBubbleSize val="0"/>
        </c:dLbls>
        <c:hiLowLines/>
        <c:marker val="1"/>
        <c:smooth val="0"/>
        <c:axId val="185983360"/>
        <c:axId val="185985280"/>
      </c:lineChart>
      <c:catAx>
        <c:axId val="185983360"/>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985280"/>
        <c:crossesAt val="0.000100000000000002"/>
        <c:auto val="1"/>
        <c:lblAlgn val="ctr"/>
        <c:lblOffset val="100"/>
        <c:noMultiLvlLbl val="0"/>
      </c:catAx>
      <c:valAx>
        <c:axId val="185985280"/>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5983360"/>
        <c:crossesAt val="1"/>
        <c:crossBetween val="between"/>
      </c:valAx>
    </c:plotArea>
    <c:legend>
      <c:legendPos val="r"/>
      <c:layout>
        <c:manualLayout>
          <c:xMode val="edge"/>
          <c:yMode val="edge"/>
          <c:x val="0.76414879174586"/>
          <c:y val="0.113623857362657"/>
          <c:w val="0.222714919255783"/>
          <c:h val="0.722847919872086"/>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en-US" altLang="zh-CN" sz="1800" b="1" i="0" baseline="0"/>
              <a:t>Precoder cycling,60+16CRC,DS1000ns</a:t>
            </a:r>
            <a:endParaRPr lang="zh-CN" altLang="zh-CN" sz="1800" b="1" i="0" baseline="0"/>
          </a:p>
        </c:rich>
      </c:tx>
      <c:layout>
        <c:manualLayout>
          <c:xMode val="edge"/>
          <c:yMode val="edge"/>
          <c:x val="0.124940416930642"/>
          <c:y val="0.000361589482603228"/>
        </c:manualLayout>
      </c:layout>
      <c:overlay val="0"/>
    </c:title>
    <c:autoTitleDeleted val="0"/>
    <c:plotArea>
      <c:layout/>
      <c:lineChart>
        <c:grouping val="standard"/>
        <c:varyColors val="0"/>
        <c:ser>
          <c:idx val="0"/>
          <c:order val="0"/>
          <c:tx>
            <c:strRef>
              <c:f>[1]OR!$B$34</c:f>
              <c:strCache>
                <c:ptCount val="1"/>
                <c:pt idx="0">
                  <c:v>wOR__AL1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[1]OR!$D$36:$P$36</c:f>
              <c:numCache>
                <c:formatCode>General</c:formatCode>
                <c:ptCount val="13"/>
                <c:pt idx="0" c:formatCode="General">
                  <c:v>1</c:v>
                </c:pt>
                <c:pt idx="1" c:formatCode="General">
                  <c:v>1</c:v>
                </c:pt>
                <c:pt idx="2" c:formatCode="General">
                  <c:v>1</c:v>
                </c:pt>
                <c:pt idx="3" c:formatCode="General">
                  <c:v>0.998</c:v>
                </c:pt>
                <c:pt idx="4" c:formatCode="General">
                  <c:v>0.98</c:v>
                </c:pt>
                <c:pt idx="5" c:formatCode="General">
                  <c:v>0.875</c:v>
                </c:pt>
                <c:pt idx="6" c:formatCode="General">
                  <c:v>0.692</c:v>
                </c:pt>
                <c:pt idx="7" c:formatCode="General">
                  <c:v>0.459</c:v>
                </c:pt>
                <c:pt idx="8" c:formatCode="General">
                  <c:v>0.267</c:v>
                </c:pt>
                <c:pt idx="9" c:formatCode="General">
                  <c:v>0.121</c:v>
                </c:pt>
                <c:pt idx="10" c:formatCode="General">
                  <c:v>0.038</c:v>
                </c:pt>
                <c:pt idx="11" c:formatCode="General">
                  <c:v>0.011</c:v>
                </c:pt>
                <c:pt idx="12" c:formatCode="General">
                  <c:v>0</c:v>
                </c:pt>
              </c:numCache>
            </c:numRef>
          </c:val>
          <c:smooth val="0"/>
        </c:ser>
        <c:ser>
          <c:idx val="1"/>
          <c:order val="1"/>
          <c:tx>
            <c:strRef>
              <c:f>[1]OR!$B$80</c:f>
              <c:strCache>
                <c:ptCount val="1"/>
                <c:pt idx="0">
                  <c:v>w/o OR_AL1</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[1]OR!$D$82:$P$82</c:f>
              <c:numCache>
                <c:formatCode>General</c:formatCode>
                <c:ptCount val="13"/>
                <c:pt idx="0" c:formatCode="General">
                  <c:v>1</c:v>
                </c:pt>
                <c:pt idx="1" c:formatCode="General">
                  <c:v>1</c:v>
                </c:pt>
                <c:pt idx="2" c:formatCode="General">
                  <c:v>1</c:v>
                </c:pt>
                <c:pt idx="3" c:formatCode="General">
                  <c:v>0.999</c:v>
                </c:pt>
                <c:pt idx="4" c:formatCode="General">
                  <c:v>0.997</c:v>
                </c:pt>
                <c:pt idx="5" c:formatCode="General">
                  <c:v>0.96</c:v>
                </c:pt>
                <c:pt idx="6" c:formatCode="General">
                  <c:v>0.863</c:v>
                </c:pt>
                <c:pt idx="7" c:formatCode="General">
                  <c:v>0.633</c:v>
                </c:pt>
                <c:pt idx="8" c:formatCode="General">
                  <c:v>0.421</c:v>
                </c:pt>
                <c:pt idx="9" c:formatCode="General">
                  <c:v>0.22</c:v>
                </c:pt>
                <c:pt idx="10" c:formatCode="General">
                  <c:v>0.102</c:v>
                </c:pt>
                <c:pt idx="11" c:formatCode="General">
                  <c:v>0.035</c:v>
                </c:pt>
                <c:pt idx="12" c:formatCode="General">
                  <c:v>0.007</c:v>
                </c:pt>
              </c:numCache>
            </c:numRef>
          </c:val>
          <c:smooth val="0"/>
        </c:ser>
        <c:ser>
          <c:idx val="2"/>
          <c:order val="2"/>
          <c:tx>
            <c:strRef>
              <c:f>[1]OR!$B$37</c:f>
              <c:strCache>
                <c:ptCount val="1"/>
                <c:pt idx="0">
                  <c:v>wOR_AL2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[1]OR!$D$39:$P$39</c:f>
              <c:numCache>
                <c:formatCode>General</c:formatCode>
                <c:ptCount val="13"/>
                <c:pt idx="0" c:formatCode="General">
                  <c:v>1</c:v>
                </c:pt>
                <c:pt idx="1" c:formatCode="General">
                  <c:v>1</c:v>
                </c:pt>
                <c:pt idx="2" c:formatCode="General">
                  <c:v>0.994</c:v>
                </c:pt>
                <c:pt idx="3" c:formatCode="General">
                  <c:v>0.9255</c:v>
                </c:pt>
                <c:pt idx="4" c:formatCode="General">
                  <c:v>0.7125</c:v>
                </c:pt>
                <c:pt idx="5" c:formatCode="General">
                  <c:v>0.3445</c:v>
                </c:pt>
                <c:pt idx="6" c:formatCode="General">
                  <c:v>0.105</c:v>
                </c:pt>
                <c:pt idx="7" c:formatCode="General">
                  <c:v>0.015</c:v>
                </c:pt>
                <c:pt idx="8" c:formatCode="General">
                  <c:v>0.0025</c:v>
                </c:pt>
                <c:pt idx="9" c:formatCode="General">
                  <c:v>0.00025</c:v>
                </c:pt>
                <c:pt idx="10" c:formatCode="General">
                  <c:v>0</c:v>
                </c:pt>
                <c:pt idx="11" c:formatCode="General">
                  <c:v>0</c:v>
                </c:pt>
                <c:pt idx="12" c:formatCode="General">
                  <c:v>0</c:v>
                </c:pt>
              </c:numCache>
            </c:numRef>
          </c:val>
          <c:smooth val="0"/>
        </c:ser>
        <c:ser>
          <c:idx val="5"/>
          <c:order val="3"/>
          <c:tx>
            <c:strRef>
              <c:f>[1]OR!$B$83</c:f>
              <c:strCache>
                <c:ptCount val="1"/>
                <c:pt idx="0">
                  <c:v>w/o OR_AL2</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[1]OR!$D$85:$P$85</c:f>
              <c:numCache>
                <c:formatCode>General</c:formatCode>
                <c:ptCount val="13"/>
                <c:pt idx="0" c:formatCode="General">
                  <c:v>1</c:v>
                </c:pt>
                <c:pt idx="1" c:formatCode="General">
                  <c:v>1</c:v>
                </c:pt>
                <c:pt idx="2" c:formatCode="General">
                  <c:v>0.995</c:v>
                </c:pt>
                <c:pt idx="3" c:formatCode="General">
                  <c:v>0.965</c:v>
                </c:pt>
                <c:pt idx="4" c:formatCode="General">
                  <c:v>0.83</c:v>
                </c:pt>
                <c:pt idx="5" c:formatCode="General">
                  <c:v>0.501</c:v>
                </c:pt>
                <c:pt idx="6" c:formatCode="General">
                  <c:v>0.1745</c:v>
                </c:pt>
                <c:pt idx="7" c:formatCode="General">
                  <c:v>0.035</c:v>
                </c:pt>
                <c:pt idx="8" c:formatCode="General">
                  <c:v>0.0035</c:v>
                </c:pt>
                <c:pt idx="9" c:formatCode="General">
                  <c:v>0</c:v>
                </c:pt>
                <c:pt idx="10" c:formatCode="General">
                  <c:v>0</c:v>
                </c:pt>
                <c:pt idx="11" c:formatCode="General">
                  <c:v>0</c:v>
                </c:pt>
                <c:pt idx="12" c:formatCode="General">
                  <c:v>0</c:v>
                </c:pt>
              </c:numCache>
            </c:numRef>
          </c:val>
          <c:smooth val="0"/>
        </c:ser>
        <c:ser>
          <c:idx val="3"/>
          <c:order val="4"/>
          <c:tx>
            <c:strRef>
              <c:f>[1]OR!$B$40</c:f>
              <c:strCache>
                <c:ptCount val="1"/>
                <c:pt idx="0">
                  <c:v>wOR_AL4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[1]OR!$D$42:$P$42</c:f>
              <c:numCache>
                <c:formatCode>General</c:formatCode>
                <c:ptCount val="13"/>
                <c:pt idx="0" c:formatCode="General">
                  <c:v>1</c:v>
                </c:pt>
                <c:pt idx="1" c:formatCode="General">
                  <c:v>0.993</c:v>
                </c:pt>
                <c:pt idx="2" c:formatCode="General">
                  <c:v>0.911</c:v>
                </c:pt>
                <c:pt idx="3" c:formatCode="General">
                  <c:v>0.615</c:v>
                </c:pt>
                <c:pt idx="4" c:formatCode="General">
                  <c:v>0.2835</c:v>
                </c:pt>
                <c:pt idx="5" c:formatCode="General">
                  <c:v>0.06125</c:v>
                </c:pt>
                <c:pt idx="6" c:formatCode="General">
                  <c:v>0.00575</c:v>
                </c:pt>
                <c:pt idx="7" c:formatCode="General">
                  <c:v>0.00025</c:v>
                </c:pt>
                <c:pt idx="8" c:formatCode="General">
                  <c:v>0</c:v>
                </c:pt>
                <c:pt idx="9" c:formatCode="General">
                  <c:v>0</c:v>
                </c:pt>
                <c:pt idx="10" c:formatCode="General">
                  <c:v>0</c:v>
                </c:pt>
                <c:pt idx="11" c:formatCode="General">
                  <c:v>0</c:v>
                </c:pt>
                <c:pt idx="12" c:formatCode="General">
                  <c:v>0</c:v>
                </c:pt>
              </c:numCache>
            </c:numRef>
          </c:val>
          <c:smooth val="0"/>
        </c:ser>
        <c:ser>
          <c:idx val="4"/>
          <c:order val="5"/>
          <c:tx>
            <c:strRef>
              <c:f>[1]OR!$B$86</c:f>
              <c:strCache>
                <c:ptCount val="1"/>
                <c:pt idx="0">
                  <c:v>w/o OR_AL4</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[1]OR!$D$88:$P$88</c:f>
              <c:numCache>
                <c:formatCode>General</c:formatCode>
                <c:ptCount val="13"/>
                <c:pt idx="0" c:formatCode="General">
                  <c:v>1</c:v>
                </c:pt>
                <c:pt idx="1" c:formatCode="General">
                  <c:v>1</c:v>
                </c:pt>
                <c:pt idx="2" c:formatCode="General">
                  <c:v>0.984</c:v>
                </c:pt>
                <c:pt idx="3" c:formatCode="General">
                  <c:v>0.792</c:v>
                </c:pt>
                <c:pt idx="4" c:formatCode="General">
                  <c:v>0.35025</c:v>
                </c:pt>
                <c:pt idx="5" c:formatCode="General">
                  <c:v>0.0825</c:v>
                </c:pt>
                <c:pt idx="6" c:formatCode="General">
                  <c:v>0.00775</c:v>
                </c:pt>
                <c:pt idx="7" c:formatCode="General">
                  <c:v>0.00025</c:v>
                </c:pt>
                <c:pt idx="8" c:formatCode="General">
                  <c:v>0</c:v>
                </c:pt>
                <c:pt idx="9" c:formatCode="General">
                  <c:v>0</c:v>
                </c:pt>
                <c:pt idx="10" c:formatCode="General">
                  <c:v>0</c:v>
                </c:pt>
                <c:pt idx="11" c:formatCode="General">
                  <c:v>0</c:v>
                </c:pt>
                <c:pt idx="12" c:formatCode="General">
                  <c:v>0</c:v>
                </c:pt>
              </c:numCache>
            </c:numRef>
          </c:val>
          <c:smooth val="0"/>
        </c:ser>
        <c:ser>
          <c:idx val="6"/>
          <c:order val="6"/>
          <c:tx>
            <c:strRef>
              <c:f>[1]OR!$B$43</c:f>
              <c:strCache>
                <c:ptCount val="1"/>
                <c:pt idx="0">
                  <c:v>wOR_AL8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[1]OR!$D$45:$P$45</c:f>
              <c:numCache>
                <c:formatCode>General</c:formatCode>
                <c:ptCount val="13"/>
                <c:pt idx="0" c:formatCode="General">
                  <c:v>0.992</c:v>
                </c:pt>
                <c:pt idx="1" c:formatCode="General">
                  <c:v>0.891</c:v>
                </c:pt>
                <c:pt idx="2" c:formatCode="General">
                  <c:v>0.5195</c:v>
                </c:pt>
                <c:pt idx="3" c:formatCode="General">
                  <c:v>0.1195</c:v>
                </c:pt>
                <c:pt idx="4" c:formatCode="General">
                  <c:v>0.005</c:v>
                </c:pt>
                <c:pt idx="5" c:formatCode="General">
                  <c:v>0</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ser>
          <c:idx val="7"/>
          <c:order val="7"/>
          <c:tx>
            <c:strRef>
              <c:f>[1]OR!$B$89</c:f>
              <c:strCache>
                <c:ptCount val="1"/>
                <c:pt idx="0">
                  <c:v>w/o OR_AL8</c:v>
                </c:pt>
              </c:strCache>
            </c:strRef>
          </c:tx>
          <c:dLbls>
            <c:delete val="1"/>
          </c:dLbls>
          <c:cat>
            <c:numRef>
              <c:f>[1]OR!$D$1:$P$1</c:f>
              <c:numCache>
                <c:formatCode>General</c:formatCode>
                <c:ptCount val="13"/>
                <c:pt idx="0">
                  <c:v>-12</c:v>
                </c:pt>
                <c:pt idx="1">
                  <c:v>-10</c:v>
                </c:pt>
                <c:pt idx="2">
                  <c:v>-8</c:v>
                </c:pt>
                <c:pt idx="3">
                  <c:v>-6</c:v>
                </c:pt>
                <c:pt idx="4">
                  <c:v>-4</c:v>
                </c:pt>
                <c:pt idx="5">
                  <c:v>-2</c:v>
                </c:pt>
                <c:pt idx="6">
                  <c:v>0</c:v>
                </c:pt>
                <c:pt idx="7">
                  <c:v>2</c:v>
                </c:pt>
                <c:pt idx="8">
                  <c:v>4</c:v>
                </c:pt>
                <c:pt idx="9">
                  <c:v>6</c:v>
                </c:pt>
                <c:pt idx="10">
                  <c:v>8</c:v>
                </c:pt>
                <c:pt idx="11">
                  <c:v>10</c:v>
                </c:pt>
                <c:pt idx="12">
                  <c:v>12</c:v>
                </c:pt>
              </c:numCache>
            </c:numRef>
          </c:cat>
          <c:val>
            <c:numRef>
              <c:f>[1]OR!$D$91:$P$91</c:f>
              <c:numCache>
                <c:formatCode>General</c:formatCode>
                <c:ptCount val="13"/>
                <c:pt idx="0" c:formatCode="General">
                  <c:v>0.987</c:v>
                </c:pt>
                <c:pt idx="1" c:formatCode="General">
                  <c:v>0.883</c:v>
                </c:pt>
                <c:pt idx="2" c:formatCode="General">
                  <c:v>0.604</c:v>
                </c:pt>
                <c:pt idx="3" c:formatCode="General">
                  <c:v>0.154</c:v>
                </c:pt>
                <c:pt idx="4" c:formatCode="General">
                  <c:v>0.0045</c:v>
                </c:pt>
                <c:pt idx="5" c:formatCode="General">
                  <c:v>0</c:v>
                </c:pt>
                <c:pt idx="6" c:formatCode="General">
                  <c:v>0</c:v>
                </c:pt>
                <c:pt idx="7" c:formatCode="General">
                  <c:v>0</c:v>
                </c:pt>
                <c:pt idx="8" c:formatCode="General">
                  <c:v>0</c:v>
                </c:pt>
                <c:pt idx="9" c:formatCode="General">
                  <c:v>0</c:v>
                </c:pt>
                <c:pt idx="10" c:formatCode="General">
                  <c:v>0</c:v>
                </c:pt>
                <c:pt idx="11" c:formatCode="General">
                  <c:v>0</c:v>
                </c:pt>
                <c:pt idx="12" c:formatCode="General">
                  <c:v>0</c:v>
                </c:pt>
              </c:numCache>
            </c:numRef>
          </c:val>
          <c:smooth val="0"/>
        </c:ser>
        <c:dLbls>
          <c:showLegendKey val="0"/>
          <c:showVal val="0"/>
          <c:showCatName val="0"/>
          <c:showSerName val="0"/>
          <c:showPercent val="0"/>
          <c:showBubbleSize val="0"/>
        </c:dLbls>
        <c:hiLowLines/>
        <c:marker val="1"/>
        <c:smooth val="0"/>
        <c:axId val="186052992"/>
        <c:axId val="186054912"/>
      </c:lineChart>
      <c:catAx>
        <c:axId val="186052992"/>
        <c:scaling>
          <c:orientation val="minMax"/>
        </c:scaling>
        <c:delete val="0"/>
        <c:axPos val="b"/>
        <c:min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SNR</a:t>
                </a:r>
                <a:endParaRPr lang="zh-CN" altLang="en-US"/>
              </a:p>
            </c:rich>
          </c:tx>
          <c:layout/>
          <c:overlay val="0"/>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6054912"/>
        <c:crossesAt val="0.000100000000000002"/>
        <c:auto val="1"/>
        <c:lblAlgn val="ctr"/>
        <c:lblOffset val="100"/>
        <c:noMultiLvlLbl val="0"/>
      </c:catAx>
      <c:valAx>
        <c:axId val="186054912"/>
        <c:scaling>
          <c:logBase val="10"/>
          <c:orientation val="minMax"/>
        </c:scaling>
        <c:delete val="0"/>
        <c:axPos val="l"/>
        <c:majorGridlines/>
        <c:minorGridlines/>
        <c:title>
          <c:tx>
            <c:rich>
              <a:bodyPr rot="-540000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en-US" altLang="zh-CN"/>
                  <a:t>BLER</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6052992"/>
        <c:crossesAt val="1"/>
        <c:crossBetween val="between"/>
      </c:valAx>
    </c:plotArea>
    <c:legend>
      <c:legendPos val="r"/>
      <c:layout>
        <c:manualLayout>
          <c:xMode val="edge"/>
          <c:yMode val="edge"/>
          <c:x val="0.76414879174586"/>
          <c:y val="0.113623857362657"/>
          <c:w val="0.222714919255783"/>
          <c:h val="0.722847919872086"/>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1210</Words>
  <Characters>6897</Characters>
  <Lines>57</Lines>
  <Paragraphs>16</Paragraphs>
  <ScaleCrop>false</ScaleCrop>
  <LinksUpToDate>false</LinksUpToDate>
  <CharactersWithSpaces>8091</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2017-05-05T13:43:00Z</dcterms:created>
  <dc:creator>ZTE</dc:creator>
  <cp:lastModifiedBy>Zhisong Zuo</cp:lastModifiedBy>
  <cp:lastPrinted>2011-10-28T13:16:00Z</cp:lastPrinted>
  <dcterms:modified xsi:type="dcterms:W3CDTF">2017-05-05T13:54:23Z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